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55" w:rsidRPr="00EA2E07" w:rsidRDefault="007E73D7" w:rsidP="009658BC">
      <w:pPr>
        <w:spacing w:after="0" w:line="240" w:lineRule="auto"/>
        <w:jc w:val="both"/>
        <w:rPr>
          <w:rFonts w:ascii="Arial" w:hAnsi="Arial" w:cs="Arial"/>
          <w:sz w:val="24"/>
          <w:szCs w:val="24"/>
          <w:lang w:val="es-ES_tradnl"/>
        </w:rPr>
      </w:pPr>
      <w:r w:rsidRPr="00EA2E07">
        <w:rPr>
          <w:rFonts w:ascii="Arial" w:hAnsi="Arial" w:cs="Arial"/>
          <w:sz w:val="24"/>
          <w:szCs w:val="24"/>
          <w:lang w:val="es-ES_tradnl"/>
        </w:rPr>
        <w:t>Bogotá D.C</w:t>
      </w:r>
      <w:r w:rsidR="005C75F1">
        <w:rPr>
          <w:rFonts w:ascii="Arial" w:hAnsi="Arial" w:cs="Arial"/>
          <w:sz w:val="24"/>
          <w:szCs w:val="24"/>
          <w:lang w:val="es-ES_tradnl"/>
        </w:rPr>
        <w:t xml:space="preserve">, </w:t>
      </w:r>
      <w:r w:rsidR="008309F3">
        <w:rPr>
          <w:rFonts w:ascii="Arial" w:hAnsi="Arial" w:cs="Arial"/>
          <w:sz w:val="24"/>
          <w:szCs w:val="24"/>
          <w:lang w:val="es-ES_tradnl"/>
        </w:rPr>
        <w:t>08 de Junio</w:t>
      </w:r>
      <w:r w:rsidR="009658BC" w:rsidRPr="00EA2E07">
        <w:rPr>
          <w:rFonts w:ascii="Arial" w:hAnsi="Arial" w:cs="Arial"/>
          <w:sz w:val="24"/>
          <w:szCs w:val="24"/>
          <w:lang w:val="es-ES_tradnl"/>
        </w:rPr>
        <w:t xml:space="preserve"> de 201</w:t>
      </w:r>
      <w:r w:rsidR="00C26F2E">
        <w:rPr>
          <w:rFonts w:ascii="Arial" w:hAnsi="Arial" w:cs="Arial"/>
          <w:sz w:val="24"/>
          <w:szCs w:val="24"/>
          <w:lang w:val="es-ES_tradnl"/>
        </w:rPr>
        <w:t>6</w:t>
      </w:r>
      <w:bookmarkStart w:id="0" w:name="_GoBack"/>
      <w:bookmarkEnd w:id="0"/>
    </w:p>
    <w:p w:rsidR="009658BC" w:rsidRPr="00EA2E07" w:rsidRDefault="009658BC" w:rsidP="009658BC">
      <w:pPr>
        <w:spacing w:after="0" w:line="240" w:lineRule="auto"/>
        <w:jc w:val="both"/>
        <w:rPr>
          <w:rFonts w:ascii="Arial" w:hAnsi="Arial" w:cs="Arial"/>
          <w:lang w:val="es-ES_tradnl"/>
        </w:rPr>
      </w:pPr>
    </w:p>
    <w:p w:rsidR="00553955" w:rsidRDefault="00553955" w:rsidP="005E61BF">
      <w:pPr>
        <w:pStyle w:val="Sinespaciado1"/>
        <w:jc w:val="both"/>
        <w:rPr>
          <w:rFonts w:ascii="Arial" w:hAnsi="Arial" w:cs="Arial"/>
          <w:lang w:val="es-ES_tradnl"/>
        </w:rPr>
      </w:pPr>
    </w:p>
    <w:p w:rsidR="005C75F1" w:rsidRPr="00EA2E07" w:rsidRDefault="005C75F1" w:rsidP="005E61BF">
      <w:pPr>
        <w:pStyle w:val="Sinespaciado1"/>
        <w:jc w:val="both"/>
        <w:rPr>
          <w:rFonts w:ascii="Arial" w:hAnsi="Arial" w:cs="Arial"/>
          <w:lang w:val="es-ES_tradnl"/>
        </w:rPr>
      </w:pPr>
    </w:p>
    <w:p w:rsidR="007E73D7" w:rsidRPr="00EA2E07" w:rsidRDefault="007E73D7" w:rsidP="005E61BF">
      <w:pPr>
        <w:pStyle w:val="Sinespaciado1"/>
        <w:jc w:val="both"/>
        <w:rPr>
          <w:rFonts w:ascii="Arial" w:hAnsi="Arial" w:cs="Arial"/>
          <w:lang w:val="es-ES_tradnl"/>
        </w:rPr>
      </w:pPr>
      <w:r w:rsidRPr="00EA2E07">
        <w:rPr>
          <w:rFonts w:ascii="Arial" w:hAnsi="Arial" w:cs="Arial"/>
          <w:lang w:val="es-ES_tradnl"/>
        </w:rPr>
        <w:t>Doctor</w:t>
      </w:r>
    </w:p>
    <w:p w:rsidR="007E73D7" w:rsidRPr="00EA2E07" w:rsidRDefault="00C26F2E" w:rsidP="005E61BF">
      <w:pPr>
        <w:pStyle w:val="Sinespaciado1"/>
        <w:jc w:val="both"/>
        <w:rPr>
          <w:rFonts w:ascii="Arial" w:hAnsi="Arial" w:cs="Arial"/>
          <w:lang w:val="es-ES_tradnl"/>
        </w:rPr>
      </w:pPr>
      <w:r>
        <w:rPr>
          <w:rFonts w:ascii="Arial" w:hAnsi="Arial" w:cs="Arial"/>
          <w:lang w:val="es-ES_tradnl"/>
        </w:rPr>
        <w:t>MIGUEL ANGEL PINTO</w:t>
      </w:r>
    </w:p>
    <w:p w:rsidR="007E73D7" w:rsidRPr="00EA2E07" w:rsidRDefault="007E73D7" w:rsidP="005E61BF">
      <w:pPr>
        <w:pStyle w:val="Sinespaciado1"/>
        <w:jc w:val="both"/>
        <w:rPr>
          <w:rFonts w:ascii="Arial" w:hAnsi="Arial" w:cs="Arial"/>
          <w:b/>
          <w:lang w:val="es-ES_tradnl"/>
        </w:rPr>
      </w:pPr>
      <w:r w:rsidRPr="00EA2E07">
        <w:rPr>
          <w:rFonts w:ascii="Arial" w:hAnsi="Arial" w:cs="Arial"/>
          <w:b/>
          <w:lang w:val="es-ES_tradnl"/>
        </w:rPr>
        <w:t>PRESIDENTE</w:t>
      </w:r>
    </w:p>
    <w:p w:rsidR="007E73D7" w:rsidRPr="00EA2E07" w:rsidRDefault="007E73D7" w:rsidP="005E61BF">
      <w:pPr>
        <w:pStyle w:val="Sinespaciado1"/>
        <w:jc w:val="both"/>
        <w:rPr>
          <w:rFonts w:ascii="Arial" w:hAnsi="Arial" w:cs="Arial"/>
          <w:lang w:val="es-ES_tradnl"/>
        </w:rPr>
      </w:pPr>
      <w:r w:rsidRPr="00EA2E07">
        <w:rPr>
          <w:rFonts w:ascii="Arial" w:hAnsi="Arial" w:cs="Arial"/>
          <w:lang w:val="es-ES_tradnl"/>
        </w:rPr>
        <w:t xml:space="preserve">Comisión Primera Constitucional Permanente </w:t>
      </w:r>
    </w:p>
    <w:p w:rsidR="007E73D7" w:rsidRDefault="00C26F2E" w:rsidP="005E61BF">
      <w:pPr>
        <w:pStyle w:val="Sinespaciado1"/>
        <w:jc w:val="both"/>
        <w:rPr>
          <w:rFonts w:ascii="Arial" w:hAnsi="Arial" w:cs="Arial"/>
          <w:lang w:val="es-ES_tradnl"/>
        </w:rPr>
      </w:pPr>
      <w:r>
        <w:rPr>
          <w:rFonts w:ascii="Arial" w:hAnsi="Arial" w:cs="Arial"/>
          <w:lang w:val="es-ES_tradnl"/>
        </w:rPr>
        <w:t>Cámara de Representantes</w:t>
      </w:r>
    </w:p>
    <w:p w:rsidR="00C26F2E" w:rsidRPr="00EA2E07" w:rsidRDefault="00C26F2E" w:rsidP="005E61BF">
      <w:pPr>
        <w:pStyle w:val="Sinespaciado1"/>
        <w:jc w:val="both"/>
        <w:rPr>
          <w:rFonts w:ascii="Arial" w:hAnsi="Arial" w:cs="Arial"/>
          <w:lang w:val="es-ES_tradnl"/>
        </w:rPr>
      </w:pPr>
      <w:r>
        <w:rPr>
          <w:rFonts w:ascii="Arial" w:hAnsi="Arial" w:cs="Arial"/>
          <w:lang w:val="es-ES_tradnl"/>
        </w:rPr>
        <w:t>Congreso de la República</w:t>
      </w:r>
    </w:p>
    <w:p w:rsidR="009E69CD" w:rsidRPr="00EA2E07" w:rsidRDefault="007E73D7" w:rsidP="005E61BF">
      <w:pPr>
        <w:pStyle w:val="Sinespaciado1"/>
        <w:jc w:val="both"/>
        <w:rPr>
          <w:rFonts w:ascii="Arial" w:hAnsi="Arial" w:cs="Arial"/>
          <w:lang w:val="es-ES_tradnl"/>
        </w:rPr>
      </w:pPr>
      <w:r w:rsidRPr="00EA2E07">
        <w:rPr>
          <w:rFonts w:ascii="Arial" w:hAnsi="Arial" w:cs="Arial"/>
          <w:lang w:val="es-ES_tradnl"/>
        </w:rPr>
        <w:t>Ciudad</w:t>
      </w:r>
      <w:r w:rsidR="009E69CD" w:rsidRPr="00EA2E07">
        <w:rPr>
          <w:rFonts w:ascii="Arial" w:hAnsi="Arial" w:cs="Arial"/>
          <w:lang w:val="es-ES_tradnl"/>
        </w:rPr>
        <w:t xml:space="preserve">, </w:t>
      </w:r>
    </w:p>
    <w:p w:rsidR="007E73D7" w:rsidRDefault="007E73D7" w:rsidP="005E61BF">
      <w:pPr>
        <w:pStyle w:val="Sinespaciado1"/>
        <w:jc w:val="both"/>
        <w:rPr>
          <w:rFonts w:ascii="Arial" w:hAnsi="Arial" w:cs="Arial"/>
          <w:lang w:val="es-ES_tradnl"/>
        </w:rPr>
      </w:pPr>
      <w:r w:rsidRPr="00EA2E07">
        <w:rPr>
          <w:rFonts w:ascii="Arial" w:hAnsi="Arial" w:cs="Arial"/>
          <w:lang w:val="es-ES_tradnl"/>
        </w:rPr>
        <w:t xml:space="preserve"> </w:t>
      </w:r>
    </w:p>
    <w:p w:rsidR="005C75F1" w:rsidRPr="00EA2E07" w:rsidRDefault="005C75F1" w:rsidP="005E61BF">
      <w:pPr>
        <w:pStyle w:val="Sinespaciado1"/>
        <w:jc w:val="both"/>
        <w:rPr>
          <w:rFonts w:ascii="Arial" w:hAnsi="Arial" w:cs="Arial"/>
          <w:lang w:val="es-ES_tradnl"/>
        </w:rPr>
      </w:pPr>
    </w:p>
    <w:p w:rsidR="00553955" w:rsidRPr="00EA2E07" w:rsidRDefault="00553955" w:rsidP="005E61BF">
      <w:pPr>
        <w:pStyle w:val="Sinespaciado1"/>
        <w:jc w:val="both"/>
        <w:rPr>
          <w:rFonts w:ascii="Arial" w:hAnsi="Arial" w:cs="Arial"/>
          <w:lang w:val="es-ES_tradnl"/>
        </w:rPr>
      </w:pPr>
    </w:p>
    <w:p w:rsidR="00553955" w:rsidRPr="00EA2E07" w:rsidRDefault="007E73D7" w:rsidP="005E61BF">
      <w:pPr>
        <w:spacing w:after="0" w:line="240" w:lineRule="auto"/>
        <w:ind w:left="708"/>
        <w:jc w:val="both"/>
        <w:rPr>
          <w:rFonts w:ascii="Arial" w:hAnsi="Arial" w:cs="Arial"/>
          <w:sz w:val="24"/>
          <w:szCs w:val="24"/>
          <w:lang w:val="es-ES_tradnl"/>
        </w:rPr>
      </w:pPr>
      <w:r w:rsidRPr="00EA2E07">
        <w:rPr>
          <w:rFonts w:ascii="Arial" w:hAnsi="Arial" w:cs="Arial"/>
          <w:sz w:val="24"/>
          <w:szCs w:val="24"/>
          <w:lang w:val="es-ES_tradnl"/>
        </w:rPr>
        <w:t xml:space="preserve">REF: Informe de Ponencia para </w:t>
      </w:r>
      <w:r w:rsidR="00A21D77">
        <w:rPr>
          <w:rFonts w:ascii="Arial" w:hAnsi="Arial" w:cs="Arial"/>
          <w:sz w:val="24"/>
          <w:szCs w:val="24"/>
          <w:lang w:val="es-ES_tradnl"/>
        </w:rPr>
        <w:t>primer</w:t>
      </w:r>
      <w:r w:rsidRPr="00EA2E07">
        <w:rPr>
          <w:rFonts w:ascii="Arial" w:hAnsi="Arial" w:cs="Arial"/>
          <w:sz w:val="24"/>
          <w:szCs w:val="24"/>
          <w:lang w:val="es-ES_tradnl"/>
        </w:rPr>
        <w:t xml:space="preserve"> debate Proyecto de Ley No. </w:t>
      </w:r>
      <w:r w:rsidR="007D5C33" w:rsidRPr="00EA2E07">
        <w:rPr>
          <w:rFonts w:ascii="Arial" w:hAnsi="Arial" w:cs="Arial"/>
          <w:sz w:val="24"/>
          <w:szCs w:val="24"/>
          <w:lang w:val="es-ES_tradnl"/>
        </w:rPr>
        <w:t>048 de 2015</w:t>
      </w:r>
      <w:r w:rsidR="00C26F2E">
        <w:rPr>
          <w:rFonts w:ascii="Arial" w:hAnsi="Arial" w:cs="Arial"/>
          <w:sz w:val="24"/>
          <w:szCs w:val="24"/>
          <w:lang w:val="es-ES_tradnl"/>
        </w:rPr>
        <w:t xml:space="preserve"> Senado 171 de 2015 Cámara</w:t>
      </w:r>
      <w:r w:rsidR="007D5C33" w:rsidRPr="00EA2E07">
        <w:rPr>
          <w:rFonts w:ascii="Arial" w:hAnsi="Arial" w:cs="Arial"/>
          <w:sz w:val="24"/>
          <w:szCs w:val="24"/>
          <w:lang w:val="es-ES_tradnl"/>
        </w:rPr>
        <w:t xml:space="preserve"> </w:t>
      </w:r>
      <w:r w:rsidR="009155FB" w:rsidRPr="00EA2E07">
        <w:rPr>
          <w:rFonts w:ascii="Arial" w:hAnsi="Arial" w:cs="Arial"/>
          <w:sz w:val="24"/>
          <w:szCs w:val="24"/>
          <w:lang w:val="es-ES_tradnl"/>
        </w:rPr>
        <w:t>“</w:t>
      </w:r>
      <w:r w:rsidR="009155FB" w:rsidRPr="00EA2E07">
        <w:rPr>
          <w:rFonts w:ascii="Arial" w:hAnsi="Arial" w:cs="Arial"/>
          <w:i/>
          <w:sz w:val="24"/>
          <w:szCs w:val="24"/>
          <w:lang w:val="es-ES_tradnl"/>
        </w:rPr>
        <w:t>Por medio de la cual se definen las contravenciones penales, se establece un procedimiento especial abreviado para ellas y se regula la figura del acusador privado</w:t>
      </w:r>
      <w:r w:rsidR="009155FB" w:rsidRPr="00EA2E07">
        <w:rPr>
          <w:rFonts w:ascii="Arial" w:hAnsi="Arial" w:cs="Arial"/>
          <w:sz w:val="24"/>
          <w:szCs w:val="24"/>
          <w:lang w:val="es-ES_tradnl"/>
        </w:rPr>
        <w:t>”.</w:t>
      </w:r>
      <w:r w:rsidR="009155FB" w:rsidRPr="00EA2E07">
        <w:rPr>
          <w:rFonts w:ascii="Arial" w:hAnsi="Arial" w:cs="Arial"/>
          <w:sz w:val="24"/>
          <w:szCs w:val="24"/>
          <w:lang w:val="es-ES_tradnl"/>
        </w:rPr>
        <w:cr/>
      </w:r>
    </w:p>
    <w:p w:rsidR="007E73D7" w:rsidRPr="00EA2E07" w:rsidRDefault="00553955" w:rsidP="005E61BF">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lang w:val="es-ES_tradnl"/>
        </w:rPr>
      </w:pPr>
      <w:r w:rsidRPr="00EA2E07">
        <w:rPr>
          <w:rFonts w:ascii="Arial" w:hAnsi="Arial" w:cs="Arial"/>
          <w:b/>
          <w:lang w:val="es-ES_tradnl"/>
        </w:rPr>
        <w:t>SÍ</w:t>
      </w:r>
      <w:r w:rsidR="007E73D7" w:rsidRPr="00EA2E07">
        <w:rPr>
          <w:rFonts w:ascii="Arial" w:hAnsi="Arial" w:cs="Arial"/>
          <w:b/>
          <w:lang w:val="es-ES_tradnl"/>
        </w:rPr>
        <w:t xml:space="preserve">NTESIS DEL PROYECTO                                          </w:t>
      </w:r>
    </w:p>
    <w:p w:rsidR="009E69CD" w:rsidRPr="00EA2E07" w:rsidRDefault="009E69CD" w:rsidP="005E61BF">
      <w:pPr>
        <w:spacing w:after="0" w:line="240" w:lineRule="auto"/>
        <w:ind w:left="708"/>
        <w:jc w:val="both"/>
        <w:rPr>
          <w:rFonts w:ascii="Arial" w:hAnsi="Arial" w:cs="Arial"/>
          <w:sz w:val="24"/>
          <w:szCs w:val="24"/>
        </w:rPr>
      </w:pPr>
    </w:p>
    <w:p w:rsidR="007D5C33" w:rsidRPr="00EA2E07" w:rsidRDefault="002C4D49" w:rsidP="007D5C33">
      <w:pPr>
        <w:spacing w:after="0" w:line="240" w:lineRule="auto"/>
        <w:ind w:left="708"/>
        <w:jc w:val="both"/>
        <w:rPr>
          <w:rFonts w:ascii="Arial" w:hAnsi="Arial" w:cs="Arial"/>
          <w:sz w:val="24"/>
          <w:szCs w:val="24"/>
        </w:rPr>
      </w:pPr>
      <w:r w:rsidRPr="00EA2E07">
        <w:rPr>
          <w:rFonts w:ascii="Arial" w:hAnsi="Arial" w:cs="Arial"/>
          <w:sz w:val="24"/>
          <w:szCs w:val="24"/>
        </w:rPr>
        <w:t>A tr</w:t>
      </w:r>
      <w:r w:rsidR="008F321B" w:rsidRPr="00EA2E07">
        <w:rPr>
          <w:rFonts w:ascii="Arial" w:hAnsi="Arial" w:cs="Arial"/>
          <w:sz w:val="24"/>
          <w:szCs w:val="24"/>
        </w:rPr>
        <w:t>avés de e</w:t>
      </w:r>
      <w:r w:rsidR="007D5C33" w:rsidRPr="00EA2E07">
        <w:rPr>
          <w:rFonts w:ascii="Arial" w:hAnsi="Arial" w:cs="Arial"/>
          <w:sz w:val="24"/>
          <w:szCs w:val="24"/>
        </w:rPr>
        <w:t xml:space="preserve">ste Proyecto de Ley: </w:t>
      </w:r>
    </w:p>
    <w:p w:rsidR="007D5C33" w:rsidRPr="00EA2E07" w:rsidRDefault="007D5C33" w:rsidP="007D5C33">
      <w:pPr>
        <w:spacing w:after="0" w:line="240" w:lineRule="auto"/>
        <w:ind w:left="708"/>
        <w:jc w:val="both"/>
        <w:rPr>
          <w:rFonts w:ascii="Arial" w:hAnsi="Arial" w:cs="Arial"/>
          <w:sz w:val="24"/>
          <w:szCs w:val="24"/>
        </w:rPr>
      </w:pPr>
    </w:p>
    <w:p w:rsidR="007D5C33" w:rsidRPr="00EA2E07" w:rsidRDefault="007D5C33" w:rsidP="00F82A53">
      <w:pPr>
        <w:spacing w:after="0" w:line="240" w:lineRule="auto"/>
        <w:ind w:left="1416"/>
        <w:jc w:val="both"/>
        <w:rPr>
          <w:rFonts w:ascii="Arial" w:hAnsi="Arial" w:cs="Arial"/>
          <w:sz w:val="24"/>
          <w:szCs w:val="24"/>
        </w:rPr>
      </w:pPr>
      <w:r w:rsidRPr="00EA2E07">
        <w:rPr>
          <w:rFonts w:ascii="Arial" w:hAnsi="Arial" w:cs="Arial"/>
          <w:sz w:val="24"/>
          <w:szCs w:val="24"/>
        </w:rPr>
        <w:t xml:space="preserve">1. </w:t>
      </w:r>
      <w:r w:rsidR="00F82A53" w:rsidRPr="00EA2E07">
        <w:rPr>
          <w:rFonts w:ascii="Arial" w:hAnsi="Arial" w:cs="Arial"/>
          <w:sz w:val="24"/>
          <w:szCs w:val="24"/>
        </w:rPr>
        <w:t>Se desarrolla la categoría de contravenciones como conduc</w:t>
      </w:r>
      <w:r w:rsidR="008F321B" w:rsidRPr="00EA2E07">
        <w:rPr>
          <w:rFonts w:ascii="Arial" w:hAnsi="Arial" w:cs="Arial"/>
          <w:sz w:val="24"/>
          <w:szCs w:val="24"/>
        </w:rPr>
        <w:t>tas punibles de menor lesividad y se incluyen dentro de ella</w:t>
      </w:r>
      <w:r w:rsidR="00F82A53" w:rsidRPr="00EA2E07">
        <w:rPr>
          <w:rFonts w:ascii="Arial" w:hAnsi="Arial" w:cs="Arial"/>
          <w:sz w:val="24"/>
          <w:szCs w:val="24"/>
        </w:rPr>
        <w:t xml:space="preserve"> </w:t>
      </w:r>
      <w:r w:rsidR="008F321B" w:rsidRPr="00EA2E07">
        <w:rPr>
          <w:rFonts w:ascii="Arial" w:hAnsi="Arial" w:cs="Arial"/>
          <w:sz w:val="24"/>
          <w:szCs w:val="24"/>
        </w:rPr>
        <w:t>el conjunto de conductas que actualmente requieren querella para el inicio de la acción penal</w:t>
      </w:r>
      <w:r w:rsidR="00F82A53" w:rsidRPr="00EA2E07">
        <w:rPr>
          <w:rFonts w:ascii="Arial" w:hAnsi="Arial" w:cs="Arial"/>
          <w:sz w:val="24"/>
          <w:szCs w:val="24"/>
        </w:rPr>
        <w:t>.</w:t>
      </w:r>
    </w:p>
    <w:p w:rsidR="00F82A53" w:rsidRPr="00EA2E07" w:rsidRDefault="007D5C33" w:rsidP="007D5C33">
      <w:pPr>
        <w:spacing w:after="0" w:line="240" w:lineRule="auto"/>
        <w:ind w:left="1416"/>
        <w:jc w:val="both"/>
        <w:rPr>
          <w:rFonts w:ascii="Arial" w:hAnsi="Arial" w:cs="Arial"/>
          <w:sz w:val="24"/>
          <w:szCs w:val="24"/>
        </w:rPr>
      </w:pPr>
      <w:r w:rsidRPr="00EA2E07">
        <w:rPr>
          <w:rFonts w:ascii="Arial" w:hAnsi="Arial" w:cs="Arial"/>
          <w:sz w:val="24"/>
          <w:szCs w:val="24"/>
        </w:rPr>
        <w:t xml:space="preserve">2. Se define </w:t>
      </w:r>
      <w:r w:rsidR="00F82A53" w:rsidRPr="00EA2E07">
        <w:rPr>
          <w:rFonts w:ascii="Arial" w:hAnsi="Arial" w:cs="Arial"/>
          <w:sz w:val="24"/>
          <w:szCs w:val="24"/>
        </w:rPr>
        <w:t>un procedimiento especial abreviado para las contravenciones</w:t>
      </w:r>
      <w:r w:rsidR="00C26F2E">
        <w:rPr>
          <w:rFonts w:ascii="Arial" w:hAnsi="Arial" w:cs="Arial"/>
          <w:sz w:val="24"/>
          <w:szCs w:val="24"/>
        </w:rPr>
        <w:t xml:space="preserve"> y algunos delitos</w:t>
      </w:r>
      <w:r w:rsidR="00F82A53" w:rsidRPr="00EA2E07">
        <w:rPr>
          <w:rFonts w:ascii="Arial" w:hAnsi="Arial" w:cs="Arial"/>
          <w:sz w:val="24"/>
          <w:szCs w:val="24"/>
        </w:rPr>
        <w:t xml:space="preserve"> que consta de dos audiencias principales.</w:t>
      </w:r>
    </w:p>
    <w:p w:rsidR="007E73D7" w:rsidRPr="00EA2E07" w:rsidRDefault="007D5C33" w:rsidP="007D5C33">
      <w:pPr>
        <w:spacing w:after="0" w:line="240" w:lineRule="auto"/>
        <w:ind w:left="1416"/>
        <w:jc w:val="both"/>
        <w:rPr>
          <w:rFonts w:ascii="Arial" w:hAnsi="Arial" w:cs="Arial"/>
          <w:sz w:val="24"/>
          <w:szCs w:val="24"/>
        </w:rPr>
      </w:pPr>
      <w:r w:rsidRPr="00EA2E07">
        <w:rPr>
          <w:rFonts w:ascii="Arial" w:hAnsi="Arial" w:cs="Arial"/>
          <w:sz w:val="24"/>
          <w:szCs w:val="24"/>
        </w:rPr>
        <w:t>3. Se desarrolla la</w:t>
      </w:r>
      <w:r w:rsidR="00F82A53" w:rsidRPr="00EA2E07">
        <w:rPr>
          <w:rFonts w:ascii="Arial" w:hAnsi="Arial" w:cs="Arial"/>
          <w:sz w:val="24"/>
          <w:szCs w:val="24"/>
        </w:rPr>
        <w:t xml:space="preserve"> figura de la Acusación Privada, a través de la cual se desmonopoliza la acción penal en cabeza del Estado y se ofrece a las víctimas la posibilidad de ejercer la acusación directamente. </w:t>
      </w:r>
      <w:r w:rsidRPr="00EA2E07">
        <w:rPr>
          <w:rFonts w:ascii="Arial" w:hAnsi="Arial" w:cs="Arial"/>
          <w:sz w:val="24"/>
          <w:szCs w:val="24"/>
        </w:rPr>
        <w:t>La Fiscalía mantiene el poder preferente</w:t>
      </w:r>
      <w:r w:rsidR="00F82A53" w:rsidRPr="00EA2E07">
        <w:rPr>
          <w:rFonts w:ascii="Arial" w:hAnsi="Arial" w:cs="Arial"/>
          <w:sz w:val="24"/>
          <w:szCs w:val="24"/>
        </w:rPr>
        <w:t xml:space="preserve"> respecto de la acción penal</w:t>
      </w:r>
      <w:r w:rsidR="00553955" w:rsidRPr="00EA2E07">
        <w:rPr>
          <w:rFonts w:ascii="Arial" w:hAnsi="Arial" w:cs="Arial"/>
          <w:sz w:val="24"/>
          <w:szCs w:val="24"/>
        </w:rPr>
        <w:t xml:space="preserve"> y l</w:t>
      </w:r>
      <w:r w:rsidRPr="00EA2E07">
        <w:rPr>
          <w:rFonts w:ascii="Arial" w:hAnsi="Arial" w:cs="Arial"/>
          <w:sz w:val="24"/>
          <w:szCs w:val="24"/>
        </w:rPr>
        <w:t>a víctima</w:t>
      </w:r>
      <w:r w:rsidR="00553955" w:rsidRPr="00EA2E07">
        <w:rPr>
          <w:rFonts w:ascii="Arial" w:hAnsi="Arial" w:cs="Arial"/>
          <w:sz w:val="24"/>
          <w:szCs w:val="24"/>
        </w:rPr>
        <w:t>,</w:t>
      </w:r>
      <w:r w:rsidRPr="00EA2E07">
        <w:rPr>
          <w:rFonts w:ascii="Arial" w:hAnsi="Arial" w:cs="Arial"/>
          <w:sz w:val="24"/>
          <w:szCs w:val="24"/>
        </w:rPr>
        <w:t xml:space="preserve"> como </w:t>
      </w:r>
      <w:r w:rsidR="00F82A53" w:rsidRPr="00EA2E07">
        <w:rPr>
          <w:rFonts w:ascii="Arial" w:hAnsi="Arial" w:cs="Arial"/>
          <w:sz w:val="24"/>
          <w:szCs w:val="24"/>
        </w:rPr>
        <w:t>acusador</w:t>
      </w:r>
      <w:r w:rsidRPr="00EA2E07">
        <w:rPr>
          <w:rFonts w:ascii="Arial" w:hAnsi="Arial" w:cs="Arial"/>
          <w:sz w:val="24"/>
          <w:szCs w:val="24"/>
        </w:rPr>
        <w:t xml:space="preserve"> privado, no está facultada para realizar actos complejos de investigación que afecten gravemente derechos fundamentales - interceptaciones de comunicaciones, inspecciones corporales</w:t>
      </w:r>
      <w:r w:rsidR="00881C8F" w:rsidRPr="00EA2E07">
        <w:rPr>
          <w:rFonts w:ascii="Arial" w:hAnsi="Arial" w:cs="Arial"/>
          <w:sz w:val="24"/>
          <w:szCs w:val="24"/>
        </w:rPr>
        <w:t xml:space="preserve">, </w:t>
      </w:r>
      <w:r w:rsidR="0041393E" w:rsidRPr="00EA2E07">
        <w:rPr>
          <w:rFonts w:ascii="Arial" w:eastAsia="Calibri" w:hAnsi="Arial" w:cs="Arial"/>
          <w:sz w:val="24"/>
          <w:szCs w:val="24"/>
        </w:rPr>
        <w:t>registros y allanamientos, entradas vigiladas, diligencias de agente encubierto, etc</w:t>
      </w:r>
      <w:r w:rsidR="00143D3A" w:rsidRPr="00EA2E07">
        <w:rPr>
          <w:rFonts w:ascii="Arial" w:eastAsia="Calibri" w:hAnsi="Arial" w:cs="Arial"/>
          <w:sz w:val="24"/>
          <w:szCs w:val="24"/>
        </w:rPr>
        <w:t>.</w:t>
      </w:r>
    </w:p>
    <w:p w:rsidR="004B4C67" w:rsidRPr="00EA2E07" w:rsidRDefault="004B4C67" w:rsidP="005E61BF">
      <w:pPr>
        <w:spacing w:after="0" w:line="240" w:lineRule="auto"/>
        <w:ind w:left="708"/>
        <w:jc w:val="both"/>
        <w:rPr>
          <w:rFonts w:ascii="Arial" w:hAnsi="Arial" w:cs="Arial"/>
          <w:sz w:val="24"/>
          <w:szCs w:val="24"/>
        </w:rPr>
      </w:pPr>
    </w:p>
    <w:p w:rsidR="007E73D7" w:rsidRPr="00EA2E07" w:rsidRDefault="007E73D7" w:rsidP="005E61BF">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ES_tradnl"/>
        </w:rPr>
      </w:pPr>
      <w:r w:rsidRPr="00EA2E07">
        <w:rPr>
          <w:rFonts w:ascii="Arial" w:hAnsi="Arial" w:cs="Arial"/>
          <w:b/>
          <w:lang w:val="es-ES_tradnl"/>
        </w:rPr>
        <w:t>TRÁMITE DEL PROYECTO</w:t>
      </w:r>
    </w:p>
    <w:p w:rsidR="009E69CD" w:rsidRPr="00EA2E07" w:rsidRDefault="009E69CD" w:rsidP="005E61BF">
      <w:pPr>
        <w:spacing w:after="0" w:line="240" w:lineRule="auto"/>
        <w:ind w:firstLine="708"/>
        <w:jc w:val="both"/>
        <w:rPr>
          <w:rFonts w:ascii="Arial" w:hAnsi="Arial" w:cs="Arial"/>
          <w:b/>
          <w:sz w:val="24"/>
          <w:szCs w:val="24"/>
          <w:lang w:val="es-ES_tradnl"/>
        </w:rPr>
      </w:pPr>
    </w:p>
    <w:p w:rsidR="007E73D7" w:rsidRPr="00EA2E07" w:rsidRDefault="007E73D7" w:rsidP="005E61BF">
      <w:pPr>
        <w:spacing w:after="0" w:line="240" w:lineRule="auto"/>
        <w:ind w:firstLine="708"/>
        <w:jc w:val="both"/>
        <w:rPr>
          <w:rFonts w:ascii="Arial" w:hAnsi="Arial" w:cs="Arial"/>
          <w:b/>
          <w:sz w:val="24"/>
          <w:szCs w:val="24"/>
          <w:lang w:val="es-ES_tradnl"/>
        </w:rPr>
      </w:pPr>
      <w:r w:rsidRPr="00EA2E07">
        <w:rPr>
          <w:rFonts w:ascii="Arial" w:hAnsi="Arial" w:cs="Arial"/>
          <w:b/>
          <w:sz w:val="24"/>
          <w:szCs w:val="24"/>
          <w:lang w:val="es-ES_tradnl"/>
        </w:rPr>
        <w:t>Origen:</w:t>
      </w:r>
      <w:r w:rsidR="007D5C33" w:rsidRPr="00EA2E07">
        <w:rPr>
          <w:rFonts w:ascii="Arial" w:hAnsi="Arial" w:cs="Arial"/>
          <w:b/>
          <w:sz w:val="24"/>
          <w:szCs w:val="24"/>
          <w:lang w:val="es-ES_tradnl"/>
        </w:rPr>
        <w:t xml:space="preserve"> </w:t>
      </w:r>
      <w:r w:rsidR="007D5C33" w:rsidRPr="00EA2E07">
        <w:rPr>
          <w:rFonts w:ascii="Arial" w:hAnsi="Arial" w:cs="Arial"/>
          <w:sz w:val="24"/>
          <w:szCs w:val="24"/>
          <w:lang w:val="es-ES_tradnl"/>
        </w:rPr>
        <w:t>Gubernamental y</w:t>
      </w:r>
      <w:r w:rsidR="007D5C33" w:rsidRPr="00EA2E07">
        <w:rPr>
          <w:rFonts w:ascii="Arial" w:hAnsi="Arial" w:cs="Arial"/>
          <w:b/>
          <w:sz w:val="24"/>
          <w:szCs w:val="24"/>
          <w:lang w:val="es-ES_tradnl"/>
        </w:rPr>
        <w:t xml:space="preserve"> </w:t>
      </w:r>
      <w:r w:rsidRPr="00EA2E07">
        <w:rPr>
          <w:rFonts w:ascii="Arial" w:hAnsi="Arial" w:cs="Arial"/>
          <w:sz w:val="24"/>
          <w:szCs w:val="24"/>
          <w:lang w:val="es-ES_tradnl"/>
        </w:rPr>
        <w:t>Congresional</w:t>
      </w:r>
      <w:r w:rsidRPr="00EA2E07">
        <w:rPr>
          <w:rFonts w:ascii="Arial" w:hAnsi="Arial" w:cs="Arial"/>
          <w:b/>
          <w:sz w:val="24"/>
          <w:szCs w:val="24"/>
          <w:lang w:val="es-ES_tradnl"/>
        </w:rPr>
        <w:t>.</w:t>
      </w:r>
    </w:p>
    <w:p w:rsidR="009658BC" w:rsidRPr="00EA2E07" w:rsidRDefault="009658BC" w:rsidP="005E61BF">
      <w:pPr>
        <w:spacing w:after="0" w:line="240" w:lineRule="auto"/>
        <w:ind w:firstLine="708"/>
        <w:jc w:val="both"/>
        <w:rPr>
          <w:rFonts w:ascii="Arial" w:hAnsi="Arial" w:cs="Arial"/>
          <w:b/>
          <w:sz w:val="24"/>
          <w:szCs w:val="24"/>
          <w:lang w:val="es-ES_tradnl"/>
        </w:rPr>
      </w:pPr>
    </w:p>
    <w:p w:rsidR="007E73D7" w:rsidRPr="00EA2E07" w:rsidRDefault="007E73D7" w:rsidP="007D5C33">
      <w:pPr>
        <w:spacing w:after="0" w:line="240" w:lineRule="auto"/>
        <w:ind w:left="708"/>
        <w:jc w:val="both"/>
        <w:rPr>
          <w:rFonts w:ascii="Arial" w:hAnsi="Arial" w:cs="Arial"/>
          <w:sz w:val="24"/>
          <w:szCs w:val="24"/>
          <w:lang w:val="es-CO"/>
        </w:rPr>
      </w:pPr>
      <w:r w:rsidRPr="00EA2E07">
        <w:rPr>
          <w:rFonts w:ascii="Arial" w:hAnsi="Arial" w:cs="Arial"/>
          <w:b/>
          <w:sz w:val="24"/>
          <w:szCs w:val="24"/>
          <w:lang w:val="es-ES_tradnl"/>
        </w:rPr>
        <w:t xml:space="preserve">Autor: </w:t>
      </w:r>
      <w:r w:rsidR="007D5C33" w:rsidRPr="00EA2E07">
        <w:rPr>
          <w:rFonts w:ascii="Arial" w:hAnsi="Arial" w:cs="Arial"/>
          <w:sz w:val="24"/>
          <w:szCs w:val="24"/>
          <w:lang w:val="es-ES_tradnl"/>
        </w:rPr>
        <w:t>Mini</w:t>
      </w:r>
      <w:r w:rsidR="009658BC" w:rsidRPr="00EA2E07">
        <w:rPr>
          <w:rFonts w:ascii="Arial" w:hAnsi="Arial" w:cs="Arial"/>
          <w:sz w:val="24"/>
          <w:szCs w:val="24"/>
          <w:lang w:val="es-ES_tradnl"/>
        </w:rPr>
        <w:t xml:space="preserve">stro de Justicia y del Derecho, </w:t>
      </w:r>
      <w:r w:rsidR="009155FB" w:rsidRPr="00EA2E07">
        <w:rPr>
          <w:rFonts w:ascii="Arial" w:hAnsi="Arial" w:cs="Arial"/>
          <w:sz w:val="24"/>
          <w:szCs w:val="24"/>
          <w:lang w:val="es-ES_tradnl"/>
        </w:rPr>
        <w:t>Senadores</w:t>
      </w:r>
      <w:r w:rsidR="009658BC" w:rsidRPr="00EA2E07">
        <w:rPr>
          <w:rFonts w:ascii="Arial" w:hAnsi="Arial" w:cs="Arial"/>
          <w:sz w:val="24"/>
          <w:szCs w:val="24"/>
          <w:lang w:val="es-ES_tradnl"/>
        </w:rPr>
        <w:t xml:space="preserve"> Roy Barreras</w:t>
      </w:r>
      <w:r w:rsidR="0041393E" w:rsidRPr="00EA2E07">
        <w:rPr>
          <w:rFonts w:ascii="Arial" w:hAnsi="Arial" w:cs="Arial"/>
          <w:sz w:val="24"/>
          <w:szCs w:val="24"/>
          <w:lang w:val="es-ES_tradnl"/>
        </w:rPr>
        <w:t xml:space="preserve">, Mauricio Lizcano, Armando Benedetti, Jimmy Chamorro, Roosvelt Rodríguez, Angel Custodio Cabrera, Andrés García Zucardi, </w:t>
      </w:r>
      <w:r w:rsidR="009155FB" w:rsidRPr="00EA2E07">
        <w:rPr>
          <w:rFonts w:ascii="Arial" w:hAnsi="Arial" w:cs="Arial"/>
          <w:sz w:val="24"/>
          <w:szCs w:val="24"/>
          <w:lang w:val="es-ES_tradnl"/>
        </w:rPr>
        <w:t xml:space="preserve">Luis Fernando Velasco, Roberto </w:t>
      </w:r>
      <w:r w:rsidR="009155FB" w:rsidRPr="00EA2E07">
        <w:rPr>
          <w:rFonts w:ascii="Arial" w:hAnsi="Arial" w:cs="Arial"/>
          <w:sz w:val="24"/>
          <w:szCs w:val="24"/>
          <w:lang w:val="es-ES_tradnl"/>
        </w:rPr>
        <w:lastRenderedPageBreak/>
        <w:t>Gerlein, Carlos Ferna</w:t>
      </w:r>
      <w:r w:rsidR="00881C8F" w:rsidRPr="00EA2E07">
        <w:rPr>
          <w:rFonts w:ascii="Arial" w:hAnsi="Arial" w:cs="Arial"/>
          <w:sz w:val="24"/>
          <w:szCs w:val="24"/>
          <w:lang w:val="es-ES_tradnl"/>
        </w:rPr>
        <w:t>n</w:t>
      </w:r>
      <w:r w:rsidR="009155FB" w:rsidRPr="00EA2E07">
        <w:rPr>
          <w:rFonts w:ascii="Arial" w:hAnsi="Arial" w:cs="Arial"/>
          <w:sz w:val="24"/>
          <w:szCs w:val="24"/>
          <w:lang w:val="es-ES_tradnl"/>
        </w:rPr>
        <w:t xml:space="preserve">do Motoa, </w:t>
      </w:r>
      <w:r w:rsidR="0041393E" w:rsidRPr="00EA2E07">
        <w:rPr>
          <w:rFonts w:ascii="Arial" w:hAnsi="Arial" w:cs="Arial"/>
          <w:sz w:val="24"/>
          <w:szCs w:val="24"/>
          <w:lang w:val="es-ES_tradnl"/>
        </w:rPr>
        <w:t xml:space="preserve">, </w:t>
      </w:r>
      <w:r w:rsidR="00A11BBF" w:rsidRPr="00EA2E07">
        <w:rPr>
          <w:rFonts w:ascii="Arial" w:hAnsi="Arial" w:cs="Arial"/>
          <w:sz w:val="24"/>
          <w:szCs w:val="24"/>
          <w:lang w:val="es-ES_tradnl"/>
        </w:rPr>
        <w:t xml:space="preserve">Juan Diego Gómez. </w:t>
      </w:r>
      <w:r w:rsidR="0041393E" w:rsidRPr="00EA2E07">
        <w:rPr>
          <w:rFonts w:ascii="Arial" w:hAnsi="Arial" w:cs="Arial"/>
          <w:sz w:val="24"/>
          <w:szCs w:val="24"/>
          <w:lang w:val="es-ES_tradnl"/>
        </w:rPr>
        <w:t xml:space="preserve">Representantes: Alfredo Deluque, </w:t>
      </w:r>
      <w:r w:rsidR="009658BC" w:rsidRPr="00EA2E07">
        <w:rPr>
          <w:rFonts w:ascii="Arial" w:hAnsi="Arial" w:cs="Arial"/>
          <w:sz w:val="24"/>
          <w:szCs w:val="24"/>
          <w:lang w:val="es-ES_tradnl"/>
        </w:rPr>
        <w:t xml:space="preserve">Berner Zambrano, </w:t>
      </w:r>
      <w:r w:rsidR="0041393E" w:rsidRPr="00EA2E07">
        <w:rPr>
          <w:rFonts w:ascii="Arial" w:hAnsi="Arial" w:cs="Arial"/>
          <w:sz w:val="24"/>
          <w:szCs w:val="24"/>
          <w:lang w:val="es-ES_tradnl"/>
        </w:rPr>
        <w:t xml:space="preserve">Juan Felipe Lemos, León Darío Ramírez, Martha Patricia Villaba, Carlos Arturo Correa, Efraín Antonio Torres, Jairo Enrique Casiblanco, Luz Adriana Moreno, John Jairo Cárdenas, Christian José Moreno, José Bernardo Florez, Eduardo José Tous, Raymundo Elías Méndez, José Edilberto Caicedo, Alexander García, Ana María Rincón, Wilmer Carrillo, Carlos Edwar Osorio, Elbert Díaz, Jorge Eliécer Tamayo, Rafael Eduardo Palau, </w:t>
      </w:r>
      <w:r w:rsidR="00A11BBF" w:rsidRPr="00EA2E07">
        <w:rPr>
          <w:rFonts w:ascii="Arial" w:hAnsi="Arial" w:cs="Arial"/>
          <w:sz w:val="24"/>
          <w:szCs w:val="24"/>
          <w:lang w:val="es-ES_tradnl"/>
        </w:rPr>
        <w:t>John Eduardo Molina y Luis Fernando Duque</w:t>
      </w:r>
      <w:r w:rsidR="00A11BBF" w:rsidRPr="00EA2E07">
        <w:rPr>
          <w:rFonts w:ascii="Arial" w:hAnsi="Arial" w:cs="Arial"/>
          <w:sz w:val="24"/>
          <w:szCs w:val="24"/>
          <w:lang w:val="es-CO"/>
        </w:rPr>
        <w:t>.</w:t>
      </w:r>
    </w:p>
    <w:p w:rsidR="00143D3A" w:rsidRDefault="00143D3A" w:rsidP="007D5C33">
      <w:pPr>
        <w:spacing w:after="0" w:line="240" w:lineRule="auto"/>
        <w:ind w:left="708"/>
        <w:jc w:val="both"/>
        <w:rPr>
          <w:rFonts w:ascii="Arial" w:hAnsi="Arial" w:cs="Arial"/>
          <w:sz w:val="24"/>
          <w:szCs w:val="24"/>
          <w:lang w:val="es-ES_tradnl"/>
        </w:rPr>
      </w:pPr>
    </w:p>
    <w:p w:rsidR="005D1B80" w:rsidRDefault="005D1B80" w:rsidP="005D1B80">
      <w:pPr>
        <w:spacing w:after="0" w:line="240" w:lineRule="auto"/>
        <w:ind w:left="708"/>
        <w:jc w:val="both"/>
        <w:rPr>
          <w:rFonts w:ascii="Arial" w:hAnsi="Arial" w:cs="Arial"/>
          <w:sz w:val="24"/>
          <w:szCs w:val="24"/>
          <w:lang w:val="es-ES_tradnl"/>
        </w:rPr>
      </w:pPr>
      <w:r>
        <w:rPr>
          <w:rFonts w:ascii="Arial" w:hAnsi="Arial" w:cs="Arial"/>
          <w:b/>
          <w:sz w:val="24"/>
          <w:szCs w:val="24"/>
          <w:lang w:val="es-ES_tradnl"/>
        </w:rPr>
        <w:t>Ponentes</w:t>
      </w:r>
      <w:r w:rsidR="00F53751">
        <w:rPr>
          <w:rFonts w:ascii="Arial" w:hAnsi="Arial" w:cs="Arial"/>
          <w:b/>
          <w:sz w:val="24"/>
          <w:szCs w:val="24"/>
          <w:lang w:val="es-ES_tradnl"/>
        </w:rPr>
        <w:t xml:space="preserve"> en Senado</w:t>
      </w:r>
      <w:r>
        <w:rPr>
          <w:rFonts w:ascii="Arial" w:hAnsi="Arial" w:cs="Arial"/>
          <w:b/>
          <w:sz w:val="24"/>
          <w:szCs w:val="24"/>
          <w:lang w:val="es-ES_tradnl"/>
        </w:rPr>
        <w:t xml:space="preserve">: </w:t>
      </w:r>
      <w:r w:rsidRPr="005D1B80">
        <w:rPr>
          <w:rFonts w:ascii="Arial" w:hAnsi="Arial" w:cs="Arial"/>
          <w:sz w:val="24"/>
          <w:szCs w:val="24"/>
          <w:lang w:val="es-ES_tradnl"/>
        </w:rPr>
        <w:t>Roy Barreras Montealegre (Coordinador), Viviane Morales Hoyos, Paloma</w:t>
      </w:r>
      <w:r>
        <w:rPr>
          <w:rFonts w:ascii="Arial" w:hAnsi="Arial" w:cs="Arial"/>
          <w:sz w:val="24"/>
          <w:szCs w:val="24"/>
          <w:lang w:val="es-ES_tradnl"/>
        </w:rPr>
        <w:t xml:space="preserve"> </w:t>
      </w:r>
      <w:r w:rsidRPr="005D1B80">
        <w:rPr>
          <w:rFonts w:ascii="Arial" w:hAnsi="Arial" w:cs="Arial"/>
          <w:sz w:val="24"/>
          <w:szCs w:val="24"/>
          <w:lang w:val="es-ES_tradnl"/>
        </w:rPr>
        <w:t>Valencia Laserna, Hernán Andrade Serrano, Germán Varón Cotrino, Doris Clemencia Vega, Claudia</w:t>
      </w:r>
      <w:r>
        <w:rPr>
          <w:rFonts w:ascii="Arial" w:hAnsi="Arial" w:cs="Arial"/>
          <w:sz w:val="24"/>
          <w:szCs w:val="24"/>
          <w:lang w:val="es-ES_tradnl"/>
        </w:rPr>
        <w:t xml:space="preserve"> </w:t>
      </w:r>
      <w:r w:rsidRPr="005D1B80">
        <w:rPr>
          <w:rFonts w:ascii="Arial" w:hAnsi="Arial" w:cs="Arial"/>
          <w:sz w:val="24"/>
          <w:szCs w:val="24"/>
          <w:lang w:val="es-ES_tradnl"/>
        </w:rPr>
        <w:t>López Hernández, Alexander López Maya.</w:t>
      </w:r>
    </w:p>
    <w:p w:rsidR="00F53751" w:rsidRDefault="00F53751" w:rsidP="005D1B80">
      <w:pPr>
        <w:spacing w:after="0" w:line="240" w:lineRule="auto"/>
        <w:ind w:left="708"/>
        <w:jc w:val="both"/>
        <w:rPr>
          <w:rFonts w:ascii="Arial" w:hAnsi="Arial" w:cs="Arial"/>
          <w:sz w:val="24"/>
          <w:szCs w:val="24"/>
          <w:lang w:val="es-ES_tradnl"/>
        </w:rPr>
      </w:pPr>
    </w:p>
    <w:p w:rsidR="00F53751" w:rsidRPr="004C22C2" w:rsidRDefault="00F53751" w:rsidP="005D1B80">
      <w:pPr>
        <w:spacing w:after="0" w:line="240" w:lineRule="auto"/>
        <w:ind w:left="708"/>
        <w:jc w:val="both"/>
        <w:rPr>
          <w:rFonts w:ascii="Arial" w:hAnsi="Arial" w:cs="Arial"/>
          <w:sz w:val="24"/>
          <w:szCs w:val="24"/>
          <w:lang w:val="es-ES_tradnl"/>
        </w:rPr>
      </w:pPr>
      <w:r w:rsidRPr="004C22C2">
        <w:rPr>
          <w:rFonts w:ascii="Arial" w:hAnsi="Arial" w:cs="Arial"/>
          <w:b/>
          <w:sz w:val="24"/>
          <w:szCs w:val="24"/>
          <w:lang w:val="es-ES_tradnl"/>
        </w:rPr>
        <w:t>Ponentes en Cámara:</w:t>
      </w:r>
      <w:r>
        <w:rPr>
          <w:rFonts w:ascii="Arial" w:hAnsi="Arial" w:cs="Arial"/>
          <w:b/>
          <w:sz w:val="24"/>
          <w:szCs w:val="24"/>
          <w:lang w:val="es-ES_tradnl"/>
        </w:rPr>
        <w:t xml:space="preserve"> </w:t>
      </w:r>
      <w:r w:rsidR="004C22C2">
        <w:rPr>
          <w:rFonts w:ascii="Arial" w:hAnsi="Arial" w:cs="Arial"/>
          <w:sz w:val="24"/>
          <w:szCs w:val="24"/>
          <w:lang w:val="es-ES_tradnl"/>
        </w:rPr>
        <w:t>Hernán Penagos Giraldo (Coordinador), Oscar Hernán Sánchez León, Pedrito Tomas Pereira Caballero, Edward David Rodríguez Rodríguez, Rodrigo Lara Restrepo, Angélica Lisbeth Lozano Correa, Carlos German Navas Talero, Fernando de la peña Márquez,</w:t>
      </w:r>
    </w:p>
    <w:p w:rsidR="004C22C2" w:rsidRPr="00F53751" w:rsidRDefault="004C22C2" w:rsidP="005D1B80">
      <w:pPr>
        <w:spacing w:after="0" w:line="240" w:lineRule="auto"/>
        <w:ind w:left="708"/>
        <w:jc w:val="both"/>
        <w:rPr>
          <w:rFonts w:ascii="Arial" w:hAnsi="Arial" w:cs="Arial"/>
          <w:b/>
          <w:sz w:val="24"/>
          <w:szCs w:val="24"/>
          <w:lang w:val="es-ES_tradnl"/>
        </w:rPr>
      </w:pPr>
    </w:p>
    <w:p w:rsidR="005D1B80" w:rsidRPr="005D1B80" w:rsidRDefault="005D1B80" w:rsidP="007D5C33">
      <w:pPr>
        <w:spacing w:after="0" w:line="240" w:lineRule="auto"/>
        <w:ind w:left="708"/>
        <w:jc w:val="both"/>
        <w:rPr>
          <w:rFonts w:ascii="Arial" w:hAnsi="Arial" w:cs="Arial"/>
          <w:b/>
          <w:sz w:val="24"/>
          <w:szCs w:val="24"/>
          <w:lang w:val="es-ES_tradnl"/>
        </w:rPr>
      </w:pPr>
    </w:p>
    <w:p w:rsidR="007E73D7" w:rsidRPr="00C26F2E" w:rsidRDefault="007E73D7" w:rsidP="005E61BF">
      <w:pPr>
        <w:pStyle w:val="Listavistosa-nfasis11"/>
        <w:spacing w:after="0" w:line="240" w:lineRule="auto"/>
        <w:jc w:val="both"/>
        <w:rPr>
          <w:rFonts w:ascii="Arial" w:hAnsi="Arial" w:cs="Arial"/>
          <w:bCs/>
          <w:spacing w:val="-3"/>
        </w:rPr>
      </w:pPr>
      <w:r w:rsidRPr="00C26F2E">
        <w:rPr>
          <w:rFonts w:ascii="Arial" w:hAnsi="Arial" w:cs="Arial"/>
          <w:b/>
          <w:lang w:val="es-ES_tradnl"/>
        </w:rPr>
        <w:t xml:space="preserve">Proyecto Publicado: </w:t>
      </w:r>
      <w:r w:rsidRPr="00C26F2E">
        <w:rPr>
          <w:rFonts w:ascii="Arial" w:hAnsi="Arial" w:cs="Arial"/>
          <w:lang w:val="es-ES_tradnl"/>
        </w:rPr>
        <w:t>Gaceta No</w:t>
      </w:r>
      <w:r w:rsidRPr="00C26F2E">
        <w:rPr>
          <w:rFonts w:ascii="Arial" w:hAnsi="Arial" w:cs="Arial"/>
          <w:bCs/>
          <w:spacing w:val="-3"/>
        </w:rPr>
        <w:t xml:space="preserve">. </w:t>
      </w:r>
      <w:r w:rsidR="009155FB" w:rsidRPr="00C26F2E">
        <w:rPr>
          <w:rFonts w:ascii="Arial" w:hAnsi="Arial" w:cs="Arial"/>
          <w:bCs/>
          <w:spacing w:val="-3"/>
        </w:rPr>
        <w:t>591/15</w:t>
      </w:r>
    </w:p>
    <w:p w:rsidR="009658BC" w:rsidRPr="00C26F2E" w:rsidRDefault="009658BC" w:rsidP="005E61BF">
      <w:pPr>
        <w:pStyle w:val="Listavistosa-nfasis11"/>
        <w:spacing w:after="0" w:line="240" w:lineRule="auto"/>
        <w:jc w:val="both"/>
        <w:rPr>
          <w:rFonts w:ascii="Arial" w:hAnsi="Arial" w:cs="Arial"/>
          <w:bCs/>
          <w:spacing w:val="-3"/>
        </w:rPr>
      </w:pPr>
    </w:p>
    <w:p w:rsidR="009658BC" w:rsidRDefault="009658BC" w:rsidP="005E61BF">
      <w:pPr>
        <w:pStyle w:val="Listavistosa-nfasis11"/>
        <w:spacing w:after="0" w:line="240" w:lineRule="auto"/>
        <w:jc w:val="both"/>
        <w:rPr>
          <w:rFonts w:ascii="Arial" w:hAnsi="Arial" w:cs="Arial"/>
          <w:bCs/>
          <w:spacing w:val="-3"/>
        </w:rPr>
      </w:pPr>
      <w:r w:rsidRPr="00C26F2E">
        <w:rPr>
          <w:rFonts w:ascii="Arial" w:hAnsi="Arial" w:cs="Arial"/>
          <w:b/>
          <w:bCs/>
          <w:spacing w:val="-3"/>
        </w:rPr>
        <w:t>Ponencia primer debate</w:t>
      </w:r>
      <w:r w:rsidRPr="00C26F2E">
        <w:rPr>
          <w:rFonts w:ascii="Arial" w:hAnsi="Arial" w:cs="Arial"/>
          <w:bCs/>
          <w:spacing w:val="-3"/>
        </w:rPr>
        <w:t>: Gaceta No.624/15</w:t>
      </w:r>
    </w:p>
    <w:p w:rsidR="00C26F2E" w:rsidRDefault="00C26F2E" w:rsidP="005E61BF">
      <w:pPr>
        <w:pStyle w:val="Listavistosa-nfasis11"/>
        <w:spacing w:after="0" w:line="240" w:lineRule="auto"/>
        <w:jc w:val="both"/>
        <w:rPr>
          <w:rFonts w:ascii="Arial" w:hAnsi="Arial" w:cs="Arial"/>
          <w:bCs/>
          <w:spacing w:val="-3"/>
        </w:rPr>
      </w:pPr>
    </w:p>
    <w:p w:rsidR="00C26F2E" w:rsidRDefault="00C26F2E" w:rsidP="005E61BF">
      <w:pPr>
        <w:pStyle w:val="Listavistosa-nfasis11"/>
        <w:spacing w:after="0" w:line="240" w:lineRule="auto"/>
        <w:jc w:val="both"/>
        <w:rPr>
          <w:rFonts w:ascii="Arial" w:hAnsi="Arial" w:cs="Arial"/>
          <w:bCs/>
          <w:spacing w:val="-3"/>
        </w:rPr>
      </w:pPr>
      <w:r w:rsidRPr="00C26F2E">
        <w:rPr>
          <w:rFonts w:ascii="Arial" w:hAnsi="Arial" w:cs="Arial"/>
          <w:b/>
          <w:bCs/>
          <w:spacing w:val="-3"/>
        </w:rPr>
        <w:t>Ponencia para segundo debate:</w:t>
      </w:r>
      <w:r>
        <w:rPr>
          <w:rFonts w:ascii="Arial" w:hAnsi="Arial" w:cs="Arial"/>
          <w:bCs/>
          <w:spacing w:val="-3"/>
        </w:rPr>
        <w:t xml:space="preserve"> Gaceta No. 775/15</w:t>
      </w:r>
    </w:p>
    <w:p w:rsidR="00C26F2E" w:rsidRDefault="00C26F2E" w:rsidP="005E61BF">
      <w:pPr>
        <w:pStyle w:val="Listavistosa-nfasis11"/>
        <w:spacing w:after="0" w:line="240" w:lineRule="auto"/>
        <w:jc w:val="both"/>
        <w:rPr>
          <w:rFonts w:ascii="Arial" w:hAnsi="Arial" w:cs="Arial"/>
          <w:bCs/>
          <w:spacing w:val="-3"/>
        </w:rPr>
      </w:pPr>
    </w:p>
    <w:p w:rsidR="00C26F2E" w:rsidRPr="00EA2E07" w:rsidRDefault="00C26F2E" w:rsidP="005E61BF">
      <w:pPr>
        <w:pStyle w:val="Listavistosa-nfasis11"/>
        <w:spacing w:after="0" w:line="240" w:lineRule="auto"/>
        <w:jc w:val="both"/>
        <w:rPr>
          <w:rFonts w:ascii="Arial" w:hAnsi="Arial" w:cs="Arial"/>
          <w:bCs/>
          <w:spacing w:val="-3"/>
        </w:rPr>
      </w:pPr>
      <w:r w:rsidRPr="00C26F2E">
        <w:rPr>
          <w:rFonts w:ascii="Arial" w:hAnsi="Arial" w:cs="Arial"/>
          <w:b/>
          <w:bCs/>
          <w:spacing w:val="-3"/>
        </w:rPr>
        <w:t xml:space="preserve">Texto aprobado en plenaria de senado: </w:t>
      </w:r>
      <w:r>
        <w:rPr>
          <w:rFonts w:ascii="Arial" w:hAnsi="Arial" w:cs="Arial"/>
          <w:bCs/>
          <w:spacing w:val="-3"/>
        </w:rPr>
        <w:t>Gaceta No. 1016/15</w:t>
      </w:r>
    </w:p>
    <w:p w:rsidR="009155FB" w:rsidRPr="00EA2E07" w:rsidRDefault="009155FB" w:rsidP="005E61BF">
      <w:pPr>
        <w:pStyle w:val="Listavistosa-nfasis11"/>
        <w:spacing w:after="0" w:line="240" w:lineRule="auto"/>
        <w:jc w:val="both"/>
        <w:rPr>
          <w:rFonts w:ascii="Arial" w:hAnsi="Arial" w:cs="Arial"/>
          <w:bCs/>
          <w:spacing w:val="-3"/>
        </w:rPr>
      </w:pPr>
    </w:p>
    <w:p w:rsidR="009E69CD" w:rsidRPr="00EA2E07" w:rsidRDefault="009E69CD" w:rsidP="005E61BF">
      <w:pPr>
        <w:pStyle w:val="Listavistosa-nfasis11"/>
        <w:spacing w:after="0" w:line="240" w:lineRule="auto"/>
        <w:jc w:val="both"/>
        <w:rPr>
          <w:rFonts w:ascii="Arial" w:hAnsi="Arial" w:cs="Arial"/>
          <w:bCs/>
          <w:spacing w:val="-3"/>
        </w:rPr>
      </w:pPr>
    </w:p>
    <w:p w:rsidR="007E73D7" w:rsidRPr="004C22C2" w:rsidRDefault="007E73D7" w:rsidP="005E61BF">
      <w:pPr>
        <w:pStyle w:val="Listavistosa-nfasis11"/>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ES_tradnl"/>
        </w:rPr>
      </w:pPr>
      <w:r w:rsidRPr="004C22C2">
        <w:rPr>
          <w:rFonts w:ascii="Arial" w:hAnsi="Arial" w:cs="Arial"/>
          <w:b/>
          <w:lang w:val="es-ES_tradnl"/>
        </w:rPr>
        <w:t>COMPETENCIA Y ASIGNACIÓN DE PONENCIA</w:t>
      </w:r>
    </w:p>
    <w:p w:rsidR="007E73D7" w:rsidRPr="004C22C2" w:rsidRDefault="007E73D7" w:rsidP="005E61BF">
      <w:pPr>
        <w:pStyle w:val="Listavistosa-nfasis11"/>
        <w:spacing w:after="0" w:line="240" w:lineRule="auto"/>
        <w:jc w:val="both"/>
        <w:rPr>
          <w:rFonts w:ascii="Arial" w:hAnsi="Arial" w:cs="Arial"/>
          <w:b/>
          <w:lang w:val="es-ES_tradnl"/>
        </w:rPr>
      </w:pPr>
    </w:p>
    <w:p w:rsidR="00553955" w:rsidRPr="00EA2E07" w:rsidRDefault="007E73D7" w:rsidP="009155FB">
      <w:pPr>
        <w:pStyle w:val="Listavistosa-nfasis11"/>
        <w:spacing w:after="0" w:line="240" w:lineRule="auto"/>
        <w:jc w:val="both"/>
        <w:rPr>
          <w:rFonts w:ascii="Arial" w:hAnsi="Arial" w:cs="Arial"/>
          <w:lang w:val="es-ES_tradnl"/>
        </w:rPr>
      </w:pPr>
      <w:r w:rsidRPr="004C22C2">
        <w:rPr>
          <w:rFonts w:ascii="Arial" w:hAnsi="Arial" w:cs="Arial"/>
          <w:lang w:val="es-ES_tradnl"/>
        </w:rPr>
        <w:t xml:space="preserve">Mediante comunicación </w:t>
      </w:r>
      <w:r w:rsidRPr="004C22C2">
        <w:rPr>
          <w:rFonts w:ascii="Arial" w:hAnsi="Arial" w:cs="Arial"/>
        </w:rPr>
        <w:t>de</w:t>
      </w:r>
      <w:r w:rsidR="00881C8F" w:rsidRPr="004C22C2">
        <w:rPr>
          <w:rFonts w:ascii="Arial" w:hAnsi="Arial" w:cs="Arial"/>
        </w:rPr>
        <w:t>l</w:t>
      </w:r>
      <w:r w:rsidRPr="004C22C2">
        <w:rPr>
          <w:rFonts w:ascii="Arial" w:hAnsi="Arial" w:cs="Arial"/>
        </w:rPr>
        <w:t xml:space="preserve"> </w:t>
      </w:r>
      <w:r w:rsidR="009658BC" w:rsidRPr="004C22C2">
        <w:rPr>
          <w:rFonts w:ascii="Arial" w:hAnsi="Arial" w:cs="Arial"/>
        </w:rPr>
        <w:t>1</w:t>
      </w:r>
      <w:r w:rsidR="004C22C2" w:rsidRPr="004C22C2">
        <w:rPr>
          <w:rFonts w:ascii="Arial" w:hAnsi="Arial" w:cs="Arial"/>
        </w:rPr>
        <w:t>8</w:t>
      </w:r>
      <w:r w:rsidR="009658BC" w:rsidRPr="004C22C2">
        <w:rPr>
          <w:rFonts w:ascii="Arial" w:hAnsi="Arial" w:cs="Arial"/>
        </w:rPr>
        <w:t xml:space="preserve"> de </w:t>
      </w:r>
      <w:r w:rsidR="004C22C2" w:rsidRPr="004C22C2">
        <w:rPr>
          <w:rFonts w:ascii="Arial" w:hAnsi="Arial" w:cs="Arial"/>
        </w:rPr>
        <w:t>marzo</w:t>
      </w:r>
      <w:r w:rsidR="009658BC" w:rsidRPr="004C22C2">
        <w:rPr>
          <w:rFonts w:ascii="Arial" w:hAnsi="Arial" w:cs="Arial"/>
        </w:rPr>
        <w:t xml:space="preserve"> </w:t>
      </w:r>
      <w:r w:rsidR="004C22C2" w:rsidRPr="004C22C2">
        <w:rPr>
          <w:rFonts w:ascii="Arial" w:hAnsi="Arial" w:cs="Arial"/>
        </w:rPr>
        <w:t>de 2016</w:t>
      </w:r>
      <w:r w:rsidR="00553955" w:rsidRPr="004C22C2">
        <w:rPr>
          <w:rFonts w:ascii="Arial" w:hAnsi="Arial" w:cs="Arial"/>
        </w:rPr>
        <w:t xml:space="preserve">, </w:t>
      </w:r>
      <w:r w:rsidRPr="004C22C2">
        <w:rPr>
          <w:rFonts w:ascii="Arial" w:hAnsi="Arial" w:cs="Arial"/>
        </w:rPr>
        <w:t xml:space="preserve">notificada el mismo día, conforme a lo expresado en el artículo 150 de la Ley 5ª de 1992, </w:t>
      </w:r>
      <w:r w:rsidRPr="004C22C2">
        <w:rPr>
          <w:rFonts w:ascii="Arial" w:hAnsi="Arial" w:cs="Arial"/>
          <w:lang w:val="es-ES_tradnl"/>
        </w:rPr>
        <w:t>fui</w:t>
      </w:r>
      <w:r w:rsidR="009658BC" w:rsidRPr="004C22C2">
        <w:rPr>
          <w:rFonts w:ascii="Arial" w:hAnsi="Arial" w:cs="Arial"/>
          <w:lang w:val="es-ES_tradnl"/>
        </w:rPr>
        <w:t>mos</w:t>
      </w:r>
      <w:r w:rsidRPr="004C22C2">
        <w:rPr>
          <w:rFonts w:ascii="Arial" w:hAnsi="Arial" w:cs="Arial"/>
          <w:lang w:val="es-ES_tradnl"/>
        </w:rPr>
        <w:t xml:space="preserve"> designado</w:t>
      </w:r>
      <w:r w:rsidR="009658BC" w:rsidRPr="004C22C2">
        <w:rPr>
          <w:rFonts w:ascii="Arial" w:hAnsi="Arial" w:cs="Arial"/>
          <w:lang w:val="es-ES_tradnl"/>
        </w:rPr>
        <w:t>s</w:t>
      </w:r>
      <w:r w:rsidRPr="004C22C2">
        <w:rPr>
          <w:rFonts w:ascii="Arial" w:hAnsi="Arial" w:cs="Arial"/>
          <w:lang w:val="es-ES_tradnl"/>
        </w:rPr>
        <w:t xml:space="preserve"> ponente</w:t>
      </w:r>
      <w:r w:rsidR="009658BC" w:rsidRPr="004C22C2">
        <w:rPr>
          <w:rFonts w:ascii="Arial" w:hAnsi="Arial" w:cs="Arial"/>
          <w:lang w:val="es-ES_tradnl"/>
        </w:rPr>
        <w:t>s en segundo debate</w:t>
      </w:r>
      <w:r w:rsidR="004C22C2">
        <w:rPr>
          <w:rFonts w:ascii="Arial" w:hAnsi="Arial" w:cs="Arial"/>
          <w:lang w:val="es-ES_tradnl"/>
        </w:rPr>
        <w:t xml:space="preserve"> del </w:t>
      </w:r>
      <w:r w:rsidR="009155FB" w:rsidRPr="004C22C2">
        <w:rPr>
          <w:rFonts w:ascii="Arial" w:hAnsi="Arial" w:cs="Arial"/>
          <w:lang w:val="es-ES_tradnl"/>
        </w:rPr>
        <w:t>Proyecto de Ley No. 48 de 2015 Senado</w:t>
      </w:r>
      <w:r w:rsidR="005D1B80" w:rsidRPr="004C22C2">
        <w:rPr>
          <w:rFonts w:ascii="Arial" w:hAnsi="Arial" w:cs="Arial"/>
          <w:lang w:val="es-ES_tradnl"/>
        </w:rPr>
        <w:t>,</w:t>
      </w:r>
      <w:r w:rsidR="004C22C2">
        <w:rPr>
          <w:rFonts w:ascii="Arial" w:hAnsi="Arial" w:cs="Arial"/>
          <w:lang w:val="es-ES_tradnl"/>
        </w:rPr>
        <w:t xml:space="preserve"> 171 de 2015 Cámara</w:t>
      </w:r>
      <w:r w:rsidR="009155FB" w:rsidRPr="004C22C2">
        <w:rPr>
          <w:rFonts w:ascii="Arial" w:hAnsi="Arial" w:cs="Arial"/>
          <w:lang w:val="es-ES_tradnl"/>
        </w:rPr>
        <w:t xml:space="preserve"> “Por medio de la cual se definen las contravenciones penales, se establece un procedimiento especial abreviado para ellas y se regula la figura del acusador privado”.</w:t>
      </w:r>
      <w:r w:rsidR="009155FB" w:rsidRPr="00EA2E07">
        <w:rPr>
          <w:rFonts w:ascii="Arial" w:hAnsi="Arial" w:cs="Arial"/>
          <w:lang w:val="es-ES_tradnl"/>
        </w:rPr>
        <w:cr/>
      </w:r>
    </w:p>
    <w:p w:rsidR="007E73D7" w:rsidRPr="00EA2E07" w:rsidRDefault="007E73D7" w:rsidP="00553955">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lang w:val="es-ES_tradnl"/>
        </w:rPr>
      </w:pPr>
      <w:r w:rsidRPr="00EA2E07">
        <w:rPr>
          <w:rFonts w:ascii="Arial" w:hAnsi="Arial" w:cs="Arial"/>
          <w:b/>
          <w:lang w:val="es-ES_tradnl"/>
        </w:rPr>
        <w:t>ESTRUCTURA DEL PROYECTO</w:t>
      </w:r>
    </w:p>
    <w:p w:rsidR="007E73D7" w:rsidRPr="00EA2E07" w:rsidRDefault="007E73D7" w:rsidP="005E61BF">
      <w:pPr>
        <w:pStyle w:val="Listavistosa-nfasis11"/>
        <w:spacing w:after="0" w:line="240" w:lineRule="auto"/>
        <w:jc w:val="both"/>
        <w:rPr>
          <w:rFonts w:ascii="Arial" w:hAnsi="Arial" w:cs="Arial"/>
          <w:b/>
          <w:lang w:val="es-ES_tradnl"/>
        </w:rPr>
      </w:pPr>
    </w:p>
    <w:p w:rsidR="007E73D7" w:rsidRPr="00EA2E07" w:rsidRDefault="007E73D7" w:rsidP="005E61BF">
      <w:pPr>
        <w:pStyle w:val="Listavistosa-nfasis11"/>
        <w:spacing w:after="0" w:line="240" w:lineRule="auto"/>
        <w:jc w:val="both"/>
        <w:rPr>
          <w:rFonts w:ascii="Arial" w:hAnsi="Arial" w:cs="Arial"/>
          <w:lang w:val="es-ES_tradnl"/>
        </w:rPr>
      </w:pPr>
      <w:r w:rsidRPr="00EA2E07">
        <w:rPr>
          <w:rFonts w:ascii="Arial" w:hAnsi="Arial" w:cs="Arial"/>
          <w:lang w:val="es-ES_tradnl"/>
        </w:rPr>
        <w:t xml:space="preserve">El Proyecto de Ley está </w:t>
      </w:r>
      <w:r w:rsidR="00082CB4" w:rsidRPr="00EA2E07">
        <w:rPr>
          <w:rFonts w:ascii="Arial" w:hAnsi="Arial" w:cs="Arial"/>
          <w:lang w:val="es-ES_tradnl"/>
        </w:rPr>
        <w:t xml:space="preserve">integrado </w:t>
      </w:r>
      <w:r w:rsidR="00082CB4" w:rsidRPr="00D009DB">
        <w:rPr>
          <w:rFonts w:ascii="Arial" w:hAnsi="Arial" w:cs="Arial"/>
          <w:lang w:val="es-ES_tradnl"/>
        </w:rPr>
        <w:t xml:space="preserve">por </w:t>
      </w:r>
      <w:r w:rsidR="00D009DB" w:rsidRPr="00D009DB">
        <w:rPr>
          <w:rFonts w:ascii="Arial" w:hAnsi="Arial" w:cs="Arial"/>
          <w:lang w:val="es-ES_tradnl"/>
        </w:rPr>
        <w:t>149</w:t>
      </w:r>
      <w:r w:rsidR="00082CB4" w:rsidRPr="00EA2E07">
        <w:rPr>
          <w:rFonts w:ascii="Arial" w:hAnsi="Arial" w:cs="Arial"/>
          <w:lang w:val="es-ES_tradnl"/>
        </w:rPr>
        <w:t xml:space="preserve"> artículos que modifican</w:t>
      </w:r>
      <w:r w:rsidR="00F82A53" w:rsidRPr="00EA2E07">
        <w:rPr>
          <w:rFonts w:ascii="Arial" w:hAnsi="Arial" w:cs="Arial"/>
          <w:lang w:val="es-ES_tradnl"/>
        </w:rPr>
        <w:t xml:space="preserve"> y adicionan</w:t>
      </w:r>
      <w:r w:rsidR="00082CB4" w:rsidRPr="00EA2E07">
        <w:rPr>
          <w:rFonts w:ascii="Arial" w:hAnsi="Arial" w:cs="Arial"/>
          <w:lang w:val="es-ES_tradnl"/>
        </w:rPr>
        <w:t xml:space="preserve"> la parte especial del Código Penal</w:t>
      </w:r>
      <w:r w:rsidR="00F82A53" w:rsidRPr="00EA2E07">
        <w:rPr>
          <w:rFonts w:ascii="Arial" w:hAnsi="Arial" w:cs="Arial"/>
          <w:lang w:val="es-ES_tradnl"/>
        </w:rPr>
        <w:t>, Ley 599 de 2000, y</w:t>
      </w:r>
      <w:r w:rsidR="00082CB4" w:rsidRPr="00EA2E07">
        <w:rPr>
          <w:rFonts w:ascii="Arial" w:hAnsi="Arial" w:cs="Arial"/>
          <w:lang w:val="es-ES_tradnl"/>
        </w:rPr>
        <w:t xml:space="preserve"> el</w:t>
      </w:r>
      <w:r w:rsidR="00F82A53" w:rsidRPr="00EA2E07">
        <w:rPr>
          <w:rFonts w:ascii="Arial" w:hAnsi="Arial" w:cs="Arial"/>
          <w:lang w:val="es-ES_tradnl"/>
        </w:rPr>
        <w:t xml:space="preserve"> Código de Procedimiento Penal, Ley 906 de 2004.</w:t>
      </w:r>
    </w:p>
    <w:p w:rsidR="007E73D7" w:rsidRPr="00EA2E07" w:rsidRDefault="007E73D7" w:rsidP="005E61BF">
      <w:pPr>
        <w:pStyle w:val="Listavistosa-nfasis11"/>
        <w:spacing w:after="0" w:line="240" w:lineRule="auto"/>
        <w:jc w:val="both"/>
        <w:rPr>
          <w:rFonts w:ascii="Arial" w:hAnsi="Arial" w:cs="Arial"/>
          <w:lang w:val="es-ES_tradnl"/>
        </w:rPr>
      </w:pPr>
    </w:p>
    <w:p w:rsidR="005D1B80" w:rsidRPr="004C22C2" w:rsidRDefault="005D1B80" w:rsidP="005D1B80">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lang w:val="es-ES_tradnl"/>
        </w:rPr>
      </w:pPr>
      <w:r w:rsidRPr="004C22C2">
        <w:rPr>
          <w:rFonts w:ascii="Arial" w:hAnsi="Arial" w:cs="Arial"/>
          <w:b/>
          <w:lang w:val="es-ES_tradnl"/>
        </w:rPr>
        <w:lastRenderedPageBreak/>
        <w:t>COMENTARIOS DE LOS PONENTES</w:t>
      </w:r>
    </w:p>
    <w:p w:rsidR="00082CB4" w:rsidRPr="00031C39" w:rsidRDefault="00082CB4" w:rsidP="00031C39">
      <w:pPr>
        <w:spacing w:after="0" w:line="240" w:lineRule="auto"/>
        <w:jc w:val="both"/>
        <w:rPr>
          <w:rFonts w:ascii="Arial" w:hAnsi="Arial" w:cs="Arial"/>
          <w:sz w:val="24"/>
          <w:szCs w:val="24"/>
        </w:rPr>
      </w:pPr>
    </w:p>
    <w:p w:rsidR="00031C39" w:rsidRPr="00031C39" w:rsidRDefault="00031C39" w:rsidP="005D1B80">
      <w:pPr>
        <w:spacing w:after="0" w:line="240" w:lineRule="auto"/>
        <w:ind w:left="708"/>
        <w:jc w:val="both"/>
        <w:rPr>
          <w:rFonts w:ascii="Arial" w:hAnsi="Arial" w:cs="Arial"/>
          <w:sz w:val="24"/>
          <w:szCs w:val="24"/>
        </w:rPr>
      </w:pP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Desde el año 2000 cuando se expidió la Ley 599, Código Penal, se estableció que las conductas punibles se clasifican en Delitos y Contravenciones, sin embargo a ninguna de las conductas desarrolladas en el Código Penal se le dio la denominación de contravención.</w:t>
      </w:r>
    </w:p>
    <w:p w:rsidR="00031C39" w:rsidRPr="00031C39" w:rsidRDefault="00031C39" w:rsidP="00031C39">
      <w:pPr>
        <w:spacing w:after="0" w:line="240" w:lineRule="auto"/>
        <w:ind w:left="1068"/>
        <w:jc w:val="both"/>
        <w:rPr>
          <w:rFonts w:ascii="Arial" w:hAnsi="Arial" w:cs="Arial"/>
          <w:sz w:val="24"/>
          <w:szCs w:val="24"/>
        </w:rPr>
      </w:pP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En el año 2007, se expidió la Ley 1153 “</w:t>
      </w:r>
      <w:r w:rsidRPr="00031C39">
        <w:rPr>
          <w:rFonts w:ascii="Arial" w:hAnsi="Arial" w:cs="Arial"/>
          <w:i/>
          <w:sz w:val="24"/>
          <w:szCs w:val="24"/>
        </w:rPr>
        <w:t>por medio de la cual se establece el tratamiento de las pequeñas causas en materia penal</w:t>
      </w:r>
      <w:r w:rsidRPr="00031C39">
        <w:rPr>
          <w:rFonts w:ascii="Arial" w:hAnsi="Arial" w:cs="Arial"/>
          <w:sz w:val="24"/>
          <w:szCs w:val="24"/>
        </w:rPr>
        <w:t>”, excluyendo a la Fiscalía para la investigación de delitos considerados como de menor entidad, esta ley fue declarada inexequible por la Corte Constitucional</w:t>
      </w:r>
      <w:r w:rsidRPr="00031C39">
        <w:rPr>
          <w:rStyle w:val="Refdenotaalpie"/>
          <w:rFonts w:ascii="Arial" w:hAnsi="Arial" w:cs="Arial"/>
          <w:sz w:val="24"/>
          <w:szCs w:val="24"/>
        </w:rPr>
        <w:footnoteReference w:id="1"/>
      </w:r>
      <w:r w:rsidRPr="00031C39">
        <w:rPr>
          <w:rFonts w:ascii="Arial" w:hAnsi="Arial" w:cs="Arial"/>
          <w:sz w:val="24"/>
          <w:szCs w:val="24"/>
        </w:rPr>
        <w:t>, por desconocer el artículo 250 de la Constitución que para la época establecía en cabeza de la Fiscalía el monopolio de la acción penal.</w:t>
      </w:r>
    </w:p>
    <w:p w:rsidR="00031C39" w:rsidRPr="00031C39" w:rsidRDefault="00031C39" w:rsidP="00031C39">
      <w:pPr>
        <w:spacing w:after="0" w:line="240" w:lineRule="auto"/>
        <w:ind w:left="1068"/>
        <w:jc w:val="both"/>
        <w:rPr>
          <w:rFonts w:ascii="Arial" w:hAnsi="Arial" w:cs="Arial"/>
          <w:sz w:val="24"/>
          <w:szCs w:val="24"/>
        </w:rPr>
      </w:pP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En el año 2011 se expidió el Acto Legislativo 06 y en su artículo 2º se estableció que:</w:t>
      </w:r>
    </w:p>
    <w:p w:rsidR="00031C39" w:rsidRPr="00031C39" w:rsidRDefault="00031C39" w:rsidP="00031C39">
      <w:pPr>
        <w:spacing w:after="0" w:line="240" w:lineRule="auto"/>
        <w:ind w:left="708"/>
        <w:jc w:val="both"/>
        <w:rPr>
          <w:rFonts w:ascii="Arial" w:hAnsi="Arial" w:cs="Arial"/>
          <w:sz w:val="24"/>
          <w:szCs w:val="24"/>
        </w:rPr>
      </w:pPr>
    </w:p>
    <w:p w:rsidR="00031C39" w:rsidRPr="00031C39" w:rsidRDefault="00031C39" w:rsidP="00031C39">
      <w:pPr>
        <w:spacing w:after="0" w:line="240" w:lineRule="auto"/>
        <w:ind w:left="1416"/>
        <w:jc w:val="both"/>
        <w:rPr>
          <w:rFonts w:ascii="Arial" w:hAnsi="Arial" w:cs="Arial"/>
          <w:i/>
          <w:sz w:val="24"/>
          <w:szCs w:val="24"/>
        </w:rPr>
      </w:pPr>
      <w:r w:rsidRPr="00031C39">
        <w:rPr>
          <w:rFonts w:ascii="Arial" w:hAnsi="Arial" w:cs="Arial"/>
          <w:i/>
          <w:sz w:val="24"/>
          <w:szCs w:val="24"/>
        </w:rPr>
        <w:t xml:space="preserve"> " Atendiendo la naturaleza del bien jurídico y la menor lesividad de la conducta punible, </w:t>
      </w:r>
      <w:r w:rsidRPr="00031C39">
        <w:rPr>
          <w:rFonts w:ascii="Arial" w:hAnsi="Arial" w:cs="Arial"/>
          <w:b/>
          <w:i/>
          <w:sz w:val="24"/>
          <w:szCs w:val="24"/>
          <w:u w:val="single"/>
        </w:rPr>
        <w:t>el legislador podrá asignarle el ejercicio de la acción penal a la víctima o a otras autoridades distintas a la Fiscalía General de la Nación</w:t>
      </w:r>
      <w:r w:rsidRPr="00031C39">
        <w:rPr>
          <w:rFonts w:ascii="Arial" w:hAnsi="Arial" w:cs="Arial"/>
          <w:i/>
          <w:sz w:val="24"/>
          <w:szCs w:val="24"/>
        </w:rPr>
        <w:t xml:space="preserve">”. (Negrillas y subrayado fuera del texto original). </w:t>
      </w:r>
    </w:p>
    <w:p w:rsidR="00082CB4" w:rsidRPr="00031C39" w:rsidRDefault="00082CB4" w:rsidP="005D1B80">
      <w:pPr>
        <w:spacing w:after="0" w:line="240" w:lineRule="auto"/>
        <w:ind w:left="708"/>
        <w:jc w:val="both"/>
        <w:rPr>
          <w:rFonts w:ascii="Arial" w:hAnsi="Arial" w:cs="Arial"/>
          <w:sz w:val="24"/>
          <w:szCs w:val="24"/>
        </w:rPr>
      </w:pPr>
      <w:r w:rsidRPr="00031C39">
        <w:rPr>
          <w:rFonts w:ascii="Arial" w:hAnsi="Arial" w:cs="Arial"/>
          <w:sz w:val="24"/>
          <w:szCs w:val="24"/>
        </w:rPr>
        <w:t xml:space="preserve"> </w:t>
      </w:r>
    </w:p>
    <w:p w:rsidR="00031C39" w:rsidRPr="00031C39" w:rsidRDefault="00031C39" w:rsidP="005D1B80">
      <w:pPr>
        <w:spacing w:after="0" w:line="240" w:lineRule="auto"/>
        <w:ind w:left="708"/>
        <w:jc w:val="both"/>
        <w:rPr>
          <w:rFonts w:ascii="Arial" w:hAnsi="Arial" w:cs="Arial"/>
          <w:sz w:val="24"/>
          <w:szCs w:val="24"/>
        </w:rPr>
      </w:pP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 xml:space="preserve">Dados los altos índices de congestión e impunidad que se presentan en el sistema penal colombiano, tal como lo evidencia, entre otros, el estudio del funcionamiento de los diez años del Sistema Penal Acusatorio (SPA), realizado por USAID, acerca del funcionamiento del aparato judicial a nivel penal, es de extrema urgencia aplicar mecanismos que fomenten y colaboren con la descongestión del sistema. Para lograr dichos fines es necesario tomar todas las herramientas que nos presta el Estado, así una de las instituciones jurídicas que estaban olvidadas, pero legítimadas en nuestro derecho, son las contravenciones. Estas, se refieren a las conductas típica, contrarias a derecho, pero con una grado de lesividad mucho menor respecto del bien jurídico afectado. En otras palabras, se podría decir que son delitos de menor gravedad.  Debido a su menor grado de lesividad, es importante determinar qué conductas punibles, bien sean delitos existentes o nuevas conductas, son contravenciones. De ahí que se de el primer paso para crear mecanismos más expeditos respecto del juzgamiento de estas conductas punibles. Para que sea posible contribuir con la descongestión del aparato judicial. Adicional a esto, esta ley nos abre un abanico de posibilidades respectos del futuro </w:t>
      </w:r>
      <w:r w:rsidRPr="008309F3">
        <w:rPr>
          <w:rFonts w:ascii="Arial" w:hAnsi="Arial" w:cs="Arial"/>
          <w:sz w:val="24"/>
          <w:szCs w:val="24"/>
        </w:rPr>
        <w:lastRenderedPageBreak/>
        <w:t>del proceso penal en Colombia. Esta ley, más allá de introducir y determinar la existencia de las contravenciones penales en Colombia, también tiene un impacto grande a nivel penal procesal. Lo que se deriva de la introducción de un proceso abreviado y la privatización de la acción penal.</w:t>
      </w:r>
    </w:p>
    <w:p w:rsidR="00031C39" w:rsidRPr="008309F3" w:rsidRDefault="006A4B6B" w:rsidP="00031C39">
      <w:pPr>
        <w:jc w:val="both"/>
        <w:rPr>
          <w:rFonts w:ascii="Arial" w:hAnsi="Arial" w:cs="Arial"/>
          <w:b/>
          <w:sz w:val="24"/>
          <w:szCs w:val="24"/>
        </w:rPr>
      </w:pPr>
      <w:r w:rsidRPr="008309F3">
        <w:rPr>
          <w:rFonts w:ascii="Arial" w:hAnsi="Arial" w:cs="Arial"/>
          <w:sz w:val="24"/>
          <w:szCs w:val="24"/>
        </w:rPr>
        <w:tab/>
      </w:r>
      <w:r w:rsidRPr="008309F3">
        <w:rPr>
          <w:rFonts w:ascii="Arial" w:hAnsi="Arial" w:cs="Arial"/>
          <w:b/>
          <w:sz w:val="24"/>
          <w:szCs w:val="24"/>
        </w:rPr>
        <w:t xml:space="preserve">Sin duda bien vale la pena citar al profesor Larry Laudan cuando vaticina: </w:t>
      </w:r>
      <w:r w:rsidRPr="008309F3">
        <w:rPr>
          <w:rFonts w:ascii="Arial" w:hAnsi="Arial" w:cs="Arial"/>
          <w:b/>
          <w:i/>
          <w:sz w:val="24"/>
          <w:szCs w:val="24"/>
        </w:rPr>
        <w:t>“La enseñanza parece clara: El aumento del índice de condenas reduce el índice de delitos, tal y como lo predijo Beccaria. De modo contrario, la reducción del índice de condenas genera más delitos. Esto no significa que la única manera de reducir el delito sea condenar más culpables”.</w:t>
      </w:r>
      <w:r w:rsidRPr="008309F3">
        <w:rPr>
          <w:rFonts w:ascii="Arial" w:hAnsi="Arial" w:cs="Arial"/>
          <w:b/>
          <w:sz w:val="24"/>
          <w:szCs w:val="24"/>
        </w:rPr>
        <w:t xml:space="preserve"> Pero bien vale reafirmar lo siguiente </w:t>
      </w:r>
      <w:r w:rsidRPr="008309F3">
        <w:rPr>
          <w:rFonts w:ascii="Arial" w:hAnsi="Arial" w:cs="Arial"/>
          <w:b/>
          <w:i/>
          <w:sz w:val="24"/>
          <w:szCs w:val="24"/>
        </w:rPr>
        <w:t xml:space="preserve">”El delito se previene de manera más efectiva a través de la certeza del castigo que de su severidad” </w:t>
      </w:r>
      <w:r w:rsidRPr="008309F3">
        <w:rPr>
          <w:rFonts w:ascii="Arial" w:hAnsi="Arial" w:cs="Arial"/>
          <w:b/>
          <w:sz w:val="24"/>
          <w:szCs w:val="24"/>
        </w:rPr>
        <w:t>(Larry Laudan – El estándar de pruebas y las garantías en el proceso penal. Editorial Hammurabi</w:t>
      </w:r>
      <w:r w:rsidR="00585497" w:rsidRPr="008309F3">
        <w:rPr>
          <w:rFonts w:ascii="Arial" w:hAnsi="Arial" w:cs="Arial"/>
          <w:b/>
          <w:sz w:val="24"/>
          <w:szCs w:val="24"/>
        </w:rPr>
        <w:t xml:space="preserve"> – 2.015. </w:t>
      </w:r>
      <w:r w:rsidRPr="008309F3">
        <w:rPr>
          <w:rFonts w:ascii="Arial" w:hAnsi="Arial" w:cs="Arial"/>
          <w:b/>
          <w:sz w:val="24"/>
          <w:szCs w:val="24"/>
        </w:rPr>
        <w:t>Pág. 222</w:t>
      </w:r>
      <w:r w:rsidR="00585497" w:rsidRPr="008309F3">
        <w:rPr>
          <w:rFonts w:ascii="Arial" w:hAnsi="Arial" w:cs="Arial"/>
          <w:b/>
          <w:sz w:val="24"/>
          <w:szCs w:val="24"/>
        </w:rPr>
        <w:t>)</w:t>
      </w:r>
      <w:r w:rsidRPr="008309F3">
        <w:rPr>
          <w:rFonts w:ascii="Arial" w:hAnsi="Arial" w:cs="Arial"/>
          <w:b/>
          <w:i/>
          <w:sz w:val="24"/>
          <w:szCs w:val="24"/>
        </w:rPr>
        <w:t xml:space="preserve"> </w:t>
      </w:r>
      <w:r w:rsidRPr="008309F3">
        <w:rPr>
          <w:rFonts w:ascii="Arial" w:hAnsi="Arial" w:cs="Arial"/>
          <w:b/>
          <w:sz w:val="24"/>
          <w:szCs w:val="24"/>
        </w:rPr>
        <w:t>La clave de todo está entonces en un modelo eficiente de justicia, esta legislación, apuesta en el camino correcto, por la eficiencia!!</w:t>
      </w: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Ambas instituciones procesales resultan de gran aporte para el futuro del derecho penal procesal del país. Lo anterior, porque a través del juzgamiento de contravenciones dentro de un proceso penal abreviado de dos audiencias, la ley, en términos prácticos, resulta ideal para analizar la eficacia de este nuevo sistema y contemplar la posibilidad de aplicar dicho procedimiento abreviado al juzgamiento de delitos en caso que este resulte eficaz. Por el otro lado, la labor del Fiscal, seguramente se verá beneficiada con la privatización de la acción penal. Esto, en tanto la carga de casos a cargo de un solo Fiscal tiene que disminuir y además, le da una participación más activa a la víctima dentro del proceso. Así, se supone que si es la misma víctima la que ejerza la acción penal, esto implica un mayor compromiso de la misma, pues es la mayor interesada. Por consiguiente, las investigaciones dentro de la indagación, se realizaran de manera más rápida, lo cual deriva en la agilización del proceso penal.</w:t>
      </w:r>
    </w:p>
    <w:p w:rsidR="00031C39" w:rsidRPr="008309F3" w:rsidRDefault="00031C39" w:rsidP="00031C39">
      <w:pPr>
        <w:jc w:val="both"/>
        <w:rPr>
          <w:rFonts w:ascii="Arial" w:hAnsi="Arial" w:cs="Arial"/>
          <w:sz w:val="24"/>
          <w:szCs w:val="24"/>
        </w:rPr>
      </w:pP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 xml:space="preserve">Finalmente, este proyecto de ley también resulta ser la oportunidad idónea para que se fomente la oralidad dentro del sistema judicial. Lo anterior, se ve reflejado en la forma de notificar del escrito de acusación al investigado, en tanto todo el proceso respecto de este punto se realiza en el despacho del fiscal. De ahí, que ya no sea necesario solicitar audiencia ante el juez, esperar la fijación de la fecha, etc. Estas prácticas como se puede ver, liberan de formalidad al sistema que se traduce en procedimientos más expeditos. El hecho de poder disponer de la </w:t>
      </w:r>
      <w:r w:rsidRPr="008309F3">
        <w:rPr>
          <w:rFonts w:ascii="Arial" w:hAnsi="Arial" w:cs="Arial"/>
          <w:sz w:val="24"/>
          <w:szCs w:val="24"/>
        </w:rPr>
        <w:lastRenderedPageBreak/>
        <w:t>presencia del juez para un acto que termina siendo meramente informativo</w:t>
      </w:r>
      <w:r w:rsidRPr="008309F3">
        <w:rPr>
          <w:rStyle w:val="Refdenotaalpie"/>
          <w:rFonts w:ascii="Arial" w:hAnsi="Arial" w:cs="Arial"/>
          <w:sz w:val="24"/>
          <w:szCs w:val="24"/>
        </w:rPr>
        <w:footnoteReference w:id="2"/>
      </w:r>
      <w:r w:rsidRPr="008309F3">
        <w:rPr>
          <w:rFonts w:ascii="Arial" w:hAnsi="Arial" w:cs="Arial"/>
          <w:sz w:val="24"/>
          <w:szCs w:val="24"/>
        </w:rPr>
        <w:t xml:space="preserve"> es un claro avance en la preocupación del Estado para mejorar la respuesta del órgano judicial. </w:t>
      </w:r>
    </w:p>
    <w:p w:rsidR="00031C39" w:rsidRPr="008309F3" w:rsidRDefault="00031C39" w:rsidP="00031C39">
      <w:pPr>
        <w:jc w:val="both"/>
        <w:rPr>
          <w:rFonts w:ascii="Arial" w:hAnsi="Arial" w:cs="Arial"/>
          <w:sz w:val="24"/>
          <w:szCs w:val="24"/>
        </w:rPr>
      </w:pPr>
    </w:p>
    <w:p w:rsidR="00031C39" w:rsidRPr="008309F3" w:rsidRDefault="00031C39" w:rsidP="00A4173F">
      <w:pPr>
        <w:ind w:firstLine="708"/>
        <w:jc w:val="both"/>
        <w:rPr>
          <w:rFonts w:ascii="Arial" w:hAnsi="Arial" w:cs="Arial"/>
          <w:b/>
          <w:sz w:val="24"/>
          <w:szCs w:val="24"/>
        </w:rPr>
      </w:pPr>
      <w:r w:rsidRPr="008309F3">
        <w:rPr>
          <w:rFonts w:ascii="Arial" w:hAnsi="Arial" w:cs="Arial"/>
          <w:b/>
          <w:sz w:val="24"/>
          <w:szCs w:val="24"/>
        </w:rPr>
        <w:t>Contravenciones</w:t>
      </w:r>
    </w:p>
    <w:p w:rsidR="00031C39" w:rsidRPr="00031C39" w:rsidRDefault="00031C39" w:rsidP="00031C39">
      <w:pPr>
        <w:ind w:left="708"/>
        <w:jc w:val="both"/>
        <w:rPr>
          <w:rFonts w:ascii="Arial" w:hAnsi="Arial" w:cs="Arial"/>
          <w:sz w:val="24"/>
          <w:szCs w:val="24"/>
        </w:rPr>
      </w:pPr>
      <w:r w:rsidRPr="008309F3">
        <w:rPr>
          <w:rFonts w:ascii="Arial" w:hAnsi="Arial" w:cs="Arial"/>
          <w:sz w:val="24"/>
          <w:szCs w:val="24"/>
        </w:rPr>
        <w:t xml:space="preserve">Claus Roxin, ha entendido que una de las funciones de los bienes jurídicos es precisamente la de esclarecer los problemas del límite del </w:t>
      </w:r>
      <w:r w:rsidRPr="008309F3">
        <w:rPr>
          <w:rFonts w:ascii="Arial" w:hAnsi="Arial" w:cs="Arial"/>
          <w:i/>
          <w:sz w:val="24"/>
          <w:szCs w:val="24"/>
        </w:rPr>
        <w:t>ius puniendi</w:t>
      </w:r>
      <w:r w:rsidRPr="008309F3">
        <w:rPr>
          <w:rFonts w:ascii="Arial" w:hAnsi="Arial" w:cs="Arial"/>
          <w:sz w:val="24"/>
          <w:szCs w:val="24"/>
        </w:rPr>
        <w:t xml:space="preserve"> estatal</w:t>
      </w:r>
      <w:r w:rsidRPr="008309F3">
        <w:rPr>
          <w:rStyle w:val="Refdenotaalpie"/>
          <w:rFonts w:ascii="Arial" w:hAnsi="Arial" w:cs="Arial"/>
          <w:sz w:val="24"/>
          <w:szCs w:val="24"/>
        </w:rPr>
        <w:footnoteReference w:id="3"/>
      </w:r>
      <w:r w:rsidRPr="008309F3">
        <w:rPr>
          <w:rFonts w:ascii="Arial" w:hAnsi="Arial" w:cs="Arial"/>
          <w:sz w:val="24"/>
          <w:szCs w:val="24"/>
        </w:rPr>
        <w:t>. En este sentido,  el entendimiento de dichos límites permite dar soluciones racionales a los problemas derivados de la protección a los bienes jurídicos. De ahí que a través  de criterios como el principio de insignificancia o de la proporcionalidad, entre otros, podamos hoy en día entender que no todos los bienes jurídicos tienen la misma importancia. Y de allí que puedan haber penas mayores o menores respecto del mismo delito. Del mismo modo, los desvalores que se ven evidenciados en la realización de determinada conducta encaminada a la realización de un tipo penal también resultan cruciales para tasar la gravedad de la pena. En otras palabras, no todas las conductas constan de la misma gravedad. Así por ejemplo, no representa lo mismo cometer un homicidio que unas declaraciones injuriosas, en tanto el daño realizado a la sociedad es distinto. Por ende, hay conductas que, si bien, son graves y es necesario que el  poder punitivo del Estado entre en acción, el desvalor de la misma no resulta siendo tan gravoso. Por ello es totalmente válido que existan delitos, entendidos como las conductas más reprochables dentro de la sociedad, y por otro lado, también existan las contravenciones, entendidas como el incumplimiento de la ley de conductas punibles menos gravosas.</w:t>
      </w:r>
      <w:r w:rsidRPr="00031C39">
        <w:rPr>
          <w:rFonts w:ascii="Arial" w:hAnsi="Arial" w:cs="Arial"/>
          <w:sz w:val="24"/>
          <w:szCs w:val="24"/>
        </w:rPr>
        <w:t xml:space="preserve"> </w:t>
      </w: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 xml:space="preserve">De acuerdo con lo anterior, la normatividad relacionada anteriormente y luego de superado el límite constitucional, se trae a consideración del Congreso de la República un Proyecto de Ley, mediante el cual se desarrollan las contravenciones, como conductas punibles de menor lesividad. </w:t>
      </w:r>
    </w:p>
    <w:p w:rsidR="00031C39" w:rsidRPr="00031C39" w:rsidRDefault="00031C39" w:rsidP="00031C39">
      <w:pPr>
        <w:spacing w:after="0" w:line="240" w:lineRule="auto"/>
        <w:ind w:left="708"/>
        <w:jc w:val="both"/>
        <w:rPr>
          <w:rFonts w:ascii="Arial" w:hAnsi="Arial" w:cs="Arial"/>
          <w:sz w:val="24"/>
          <w:szCs w:val="24"/>
        </w:rPr>
      </w:pP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 xml:space="preserve">Para determinar de manera objetiva qué conductas revisten estas características, se definieron como contravenciones los delitos definidos en el Código Penal y Código de Procedimiento Penal como querellables, es decir aquellos que no se </w:t>
      </w:r>
      <w:r w:rsidRPr="00031C39">
        <w:rPr>
          <w:rFonts w:ascii="Arial" w:hAnsi="Arial" w:cs="Arial"/>
          <w:sz w:val="24"/>
          <w:szCs w:val="24"/>
        </w:rPr>
        <w:lastRenderedPageBreak/>
        <w:t xml:space="preserve">investigan de oficio sino solo a petición de parte y antes del inicio del proceso se trata de conciliar previamente entre el querellante y el presunto autor de la conducta punible. </w:t>
      </w:r>
    </w:p>
    <w:p w:rsidR="00031C39" w:rsidRPr="00031C39" w:rsidRDefault="00031C39" w:rsidP="00031C39">
      <w:pPr>
        <w:spacing w:after="0" w:line="240" w:lineRule="auto"/>
        <w:ind w:left="708"/>
        <w:jc w:val="both"/>
        <w:rPr>
          <w:rFonts w:ascii="Arial" w:hAnsi="Arial" w:cs="Arial"/>
          <w:sz w:val="24"/>
          <w:szCs w:val="24"/>
        </w:rPr>
      </w:pPr>
    </w:p>
    <w:p w:rsidR="00031C39" w:rsidRPr="00031C39" w:rsidRDefault="00031C39" w:rsidP="00031C39">
      <w:pPr>
        <w:ind w:left="708"/>
        <w:jc w:val="both"/>
        <w:rPr>
          <w:rFonts w:ascii="Arial" w:hAnsi="Arial" w:cs="Arial"/>
          <w:sz w:val="24"/>
          <w:szCs w:val="24"/>
        </w:rPr>
      </w:pPr>
      <w:r w:rsidRPr="00031C39">
        <w:rPr>
          <w:rFonts w:ascii="Arial" w:hAnsi="Arial" w:cs="Arial"/>
          <w:sz w:val="24"/>
          <w:szCs w:val="24"/>
        </w:rPr>
        <w:t>Estas contravenciones penales, nada tienen que ver con los contravenciones del Código de Policía, en el que se regulan las conductas sociales menos graves, para procurar la convivencia pacífica entre las personas, por su parte las contravenciones penales buscan resolver judicialmente los actos ya realizados con los cuales se ha causado daño a un bien jurídico tutelado que protege determinados derechos.</w:t>
      </w:r>
    </w:p>
    <w:p w:rsidR="00031C39" w:rsidRPr="00031C39" w:rsidRDefault="00031C39" w:rsidP="00031C39">
      <w:pPr>
        <w:jc w:val="both"/>
        <w:rPr>
          <w:rFonts w:ascii="Arial" w:hAnsi="Arial" w:cs="Arial"/>
          <w:sz w:val="24"/>
          <w:szCs w:val="24"/>
        </w:rPr>
      </w:pP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De ahí que sea totalmente válido dar un trato diferenciado, por ejemplo, la aplicación de procesos distintos a delitos y contravenciones, fundamentado esto en el artículo 13 de la Constitución. Sin embargo, lo que sí debe tener en cuenta el presente proceso de ley es que dicho tratamiento no puede ser arbitrario. Al respecto, la Corte Constitucional a dicho en sentencia C1112 de 2000 que</w:t>
      </w:r>
    </w:p>
    <w:p w:rsidR="00031C39" w:rsidRPr="008309F3" w:rsidRDefault="00031C39" w:rsidP="00031C39">
      <w:pPr>
        <w:jc w:val="both"/>
        <w:rPr>
          <w:rFonts w:ascii="Arial" w:hAnsi="Arial" w:cs="Arial"/>
          <w:sz w:val="24"/>
          <w:szCs w:val="24"/>
        </w:rPr>
      </w:pPr>
    </w:p>
    <w:p w:rsidR="00031C39" w:rsidRPr="008309F3" w:rsidRDefault="00031C39" w:rsidP="00031C39">
      <w:pPr>
        <w:pStyle w:val="NormalWeb"/>
        <w:ind w:left="708"/>
        <w:jc w:val="both"/>
        <w:rPr>
          <w:rFonts w:ascii="Arial" w:hAnsi="Arial" w:cs="Arial"/>
          <w:i/>
          <w:iCs/>
          <w:color w:val="000000"/>
          <w:shd w:val="clear" w:color="auto" w:fill="FFFFFF"/>
        </w:rPr>
      </w:pPr>
      <w:r w:rsidRPr="008309F3">
        <w:rPr>
          <w:rFonts w:ascii="Arial" w:hAnsi="Arial" w:cs="Arial"/>
        </w:rPr>
        <w:t>“</w:t>
      </w:r>
      <w:r w:rsidRPr="008309F3">
        <w:rPr>
          <w:rFonts w:ascii="Arial" w:hAnsi="Arial" w:cs="Arial"/>
          <w:i/>
          <w:iCs/>
          <w:color w:val="000000"/>
          <w:shd w:val="clear" w:color="auto" w:fill="FFFFFF"/>
        </w:rPr>
        <w:t>La aplicación de un régimen procesal correspondiente a las contravenciones y otro a los delitos ha de ser el resultado de la ponderación de todos los derechos en juego; y si bien, en varias ocasiones, la Corte ha autorizado un trato diferenciado entre personas que han sido vinculadas al proceso penal, pues ha considerado que las distinciones hechas por el legislador en el juzgamiento o en el tratamiento penitenciario de delitos y contravenciones son posibles en la medida en que unos y otros se fundamentan en criterios de razonabilidad y proporcionalidad, tal circunstancia no puede convertirse en una forma de menoscabar las garantías del procesado, haciendo, por ejemplo, más gravosa la situación del contraventor, o impidiendo al delincuente el ejercicio pleno de sus derechos.”</w:t>
      </w:r>
    </w:p>
    <w:p w:rsidR="00031C39" w:rsidRPr="00031C39" w:rsidRDefault="00031C39" w:rsidP="00031C39">
      <w:pPr>
        <w:ind w:left="708"/>
        <w:jc w:val="both"/>
        <w:rPr>
          <w:rFonts w:ascii="Arial" w:hAnsi="Arial" w:cs="Arial"/>
          <w:sz w:val="24"/>
          <w:szCs w:val="24"/>
        </w:rPr>
      </w:pPr>
      <w:r w:rsidRPr="008309F3">
        <w:rPr>
          <w:rFonts w:ascii="Arial" w:hAnsi="Arial" w:cs="Arial"/>
          <w:sz w:val="24"/>
          <w:szCs w:val="24"/>
        </w:rPr>
        <w:t xml:space="preserve">Por otro lado, este proyecto de ley es el mecanismo perfecto para poder fortalecer el talante oral de nuestro sistema penal. Esto en el sentido que al estar ante conductas punibles de menor gravedad, se pueden aplicar procesos que impulsen la oralidad del sistema. Lo anterior, con el fin de que por un lado se ayude con la descongestión del sistema y por el otro lado, con vistas al futuro de todo el sistema penal. En tanto, si se demuestra la efectividad de los procesos que se pretenden introducir en el ordenamiento con esta ley, si demuestran que pueden ser expeditos y que hacen un buen uso de los medios de tecnología, entonces pueden </w:t>
      </w:r>
      <w:r w:rsidRPr="008309F3">
        <w:rPr>
          <w:rFonts w:ascii="Arial" w:hAnsi="Arial" w:cs="Arial"/>
          <w:sz w:val="24"/>
          <w:szCs w:val="24"/>
        </w:rPr>
        <w:lastRenderedPageBreak/>
        <w:t>sentar la base para futuras reformas a los procedimientos de delitos, para que estos funcionen de forma mas eficiente.</w:t>
      </w:r>
    </w:p>
    <w:p w:rsidR="00031C39" w:rsidRPr="00031C39" w:rsidRDefault="00031C39" w:rsidP="00031C39">
      <w:pPr>
        <w:jc w:val="both"/>
        <w:rPr>
          <w:rFonts w:ascii="Arial" w:hAnsi="Arial" w:cs="Arial"/>
          <w:sz w:val="24"/>
          <w:szCs w:val="24"/>
        </w:rPr>
      </w:pPr>
    </w:p>
    <w:p w:rsidR="00031C39" w:rsidRPr="00031C39" w:rsidRDefault="00031C39" w:rsidP="00031C39">
      <w:pPr>
        <w:ind w:left="708"/>
        <w:jc w:val="both"/>
        <w:rPr>
          <w:rFonts w:ascii="Arial" w:hAnsi="Arial" w:cs="Arial"/>
          <w:b/>
          <w:sz w:val="24"/>
          <w:szCs w:val="24"/>
        </w:rPr>
      </w:pPr>
      <w:r w:rsidRPr="00031C39">
        <w:rPr>
          <w:rFonts w:ascii="Arial" w:hAnsi="Arial" w:cs="Arial"/>
          <w:b/>
          <w:sz w:val="24"/>
          <w:szCs w:val="24"/>
        </w:rPr>
        <w:t>Del proceso abreviado</w:t>
      </w: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Adicional a esto, se consagra un procedimiento especial abreviado para el trámite de las contravenciones, a través de una audiencia concentrada en la que se reúne la etapa de conciliación, la posibilidad de que el procesado se allane a los cargos, se presente el material probatorio que hay en contra del procesado y con esto, se reúnen en una sola, la audiencia de acusación y la audiencia preparatoria que se realizan en el procedimiento penal ordinario.</w:t>
      </w:r>
    </w:p>
    <w:p w:rsidR="00031C39" w:rsidRPr="00031C39" w:rsidRDefault="00031C39" w:rsidP="00031C39">
      <w:pPr>
        <w:spacing w:after="0" w:line="240" w:lineRule="auto"/>
        <w:ind w:left="708"/>
        <w:jc w:val="both"/>
        <w:rPr>
          <w:rFonts w:ascii="Arial" w:hAnsi="Arial" w:cs="Arial"/>
          <w:sz w:val="24"/>
          <w:szCs w:val="24"/>
        </w:rPr>
      </w:pP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Posterior a la audiencia concentrada se realiza la audiencia de juicio oral y, en lugar de la audiencia de lectura de fallo, este se comunica en forma escrita a las partes.</w:t>
      </w:r>
    </w:p>
    <w:p w:rsidR="00031C39" w:rsidRPr="00031C39" w:rsidRDefault="00031C39" w:rsidP="00031C39">
      <w:pPr>
        <w:spacing w:after="0" w:line="240" w:lineRule="auto"/>
        <w:ind w:left="708"/>
        <w:jc w:val="both"/>
        <w:rPr>
          <w:rFonts w:ascii="Arial" w:hAnsi="Arial" w:cs="Arial"/>
          <w:sz w:val="24"/>
          <w:szCs w:val="24"/>
        </w:rPr>
      </w:pPr>
    </w:p>
    <w:p w:rsidR="00031C39" w:rsidRPr="008309F3" w:rsidRDefault="00031C39" w:rsidP="00031C39">
      <w:pPr>
        <w:spacing w:after="0" w:line="240" w:lineRule="auto"/>
        <w:ind w:left="708"/>
        <w:jc w:val="both"/>
        <w:rPr>
          <w:rFonts w:ascii="Arial" w:hAnsi="Arial" w:cs="Arial"/>
          <w:sz w:val="24"/>
          <w:szCs w:val="24"/>
        </w:rPr>
      </w:pPr>
      <w:r w:rsidRPr="008309F3">
        <w:rPr>
          <w:rFonts w:ascii="Arial" w:hAnsi="Arial" w:cs="Arial"/>
          <w:sz w:val="24"/>
          <w:szCs w:val="24"/>
        </w:rPr>
        <w:t xml:space="preserve">Con este procedimiento se reúnen en dos audiencias las cinco audiencias del proceso penal ordinario – Audiencia de Formulación de Imputación, Audiencia de Formulación de Acusación, Audiencia Preparatoria, Audiencia de Juicio Oral y Audiencia de Lectura de Fallo-. Es de tener en cuenta que el procedimiento norteamericano funciona precisamente de esta manera, con tan solo dos audiencias (acusación y juicio).  Así, es importante hacer hincapié en una de las motivaciones del primer debate, en la cual se menciona que </w:t>
      </w:r>
    </w:p>
    <w:p w:rsidR="00031C39" w:rsidRPr="008309F3" w:rsidRDefault="00031C39" w:rsidP="00031C39">
      <w:pPr>
        <w:jc w:val="both"/>
        <w:rPr>
          <w:rFonts w:ascii="Arial" w:hAnsi="Arial" w:cs="Arial"/>
          <w:sz w:val="24"/>
          <w:szCs w:val="24"/>
        </w:rPr>
      </w:pP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“éste proyecto está encaminado a  dotar de mayor agilidad los procedimientos que se consideran de menor entidad, no porque su impacto sea menor, sino porque reviste de mayor importancia para la víctima que para el mismo Estado.”</w:t>
      </w:r>
    </w:p>
    <w:p w:rsidR="00031C39" w:rsidRPr="008309F3" w:rsidRDefault="00031C39" w:rsidP="00031C39">
      <w:pPr>
        <w:jc w:val="both"/>
        <w:rPr>
          <w:rFonts w:ascii="Arial" w:hAnsi="Arial" w:cs="Arial"/>
          <w:sz w:val="24"/>
          <w:szCs w:val="24"/>
        </w:rPr>
      </w:pPr>
    </w:p>
    <w:p w:rsidR="00031C39" w:rsidRPr="008309F3" w:rsidRDefault="00031C39" w:rsidP="00031C39">
      <w:pPr>
        <w:ind w:left="708"/>
        <w:jc w:val="both"/>
        <w:rPr>
          <w:rFonts w:ascii="Arial" w:hAnsi="Arial" w:cs="Arial"/>
          <w:b/>
          <w:sz w:val="24"/>
          <w:szCs w:val="24"/>
        </w:rPr>
      </w:pPr>
      <w:r w:rsidRPr="008309F3">
        <w:rPr>
          <w:rFonts w:ascii="Arial" w:hAnsi="Arial" w:cs="Arial"/>
          <w:sz w:val="24"/>
          <w:szCs w:val="24"/>
        </w:rPr>
        <w:t>Si bien puede ser cierto que para la víctima revista mayor importancia para el Estado en términos patrimoniales o de resarcimiento, para el Estado en realidad reviste una mayor importancia en términos de descongestión al sistema judicial. Esta ley, por ende, debe verse no solo como una forma de agilizar procesos que revisten menor peligro para los bienes jurídicos, sino como una especie de prototipo para el futuro del sistema penal acusatorio. Si el procedimiento abreviado propuesto resultan siendo  efectivo, el mismo se podría aplicar al juzgamiento de delitos, descongestionando en gran medida el sistema penal.</w:t>
      </w: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 xml:space="preserve">Una de las razones para que en el proceso ordinario la fiscalía enuncie pruebas en la audiencia acusatoria y posteriormente la defensa enuncie y solicite pruebas </w:t>
      </w:r>
      <w:r w:rsidRPr="008309F3">
        <w:rPr>
          <w:rFonts w:ascii="Arial" w:hAnsi="Arial" w:cs="Arial"/>
          <w:sz w:val="24"/>
          <w:szCs w:val="24"/>
        </w:rPr>
        <w:lastRenderedPageBreak/>
        <w:t xml:space="preserve">en la audiencia preparatoria junto a la fiscalía, es para darle tiempo a las partes para prepararse y poder tomar las estrategias jurídicas necesarias para desvirtuar las pruebas de la contra parte en el juicio oral y así salir una parte victoriosa y la otra derrotada.  Por esta razón, lo realmente importante es que exista tiempo suficiente para poder preparar el juicio una vez se conocen las pruebas que se harán valer. En este sentido, sería conveniente que en caso de que hubiese un concurso entre una contravención y un delito, se siguiera con el procedimiento abreviado, en tanto no se vulnera ningún derecho de las partes siguiendo este procedimiento. En la medida que igualmente pueden ejercitar su derecho a la defensa, y además tendrán un tiempo prudencia para preparar la audiencia de juicio. Así, el artículo 534 del proyecto debería expandir el ámbito de aplicación del procedimiento abreviado al concurso de una contravención con un delito,  y en caso de que el concurso se presente con dos o más delitos, si seguir el procedimiento ordinario. Lo anterior con el fin de determinar la eficacia del procedimiento no solo ante contravenciones, si no también ante delitos. Esto además, porque dentro del mismo artículo se menciona que habrán ciertos delitos que se juzgaran por medio de este procedimiento. Por ende, no se encuentra razón para no permitir al menos la realización del proceso abreviado cuando el concurso de una contravención se de con un delito. Lo anterior, resultaría muy provechoso, porque por un lado ayudaría aun más con la descongestión del sistema y por el otro, permitiría observar la idoneidad del procedimiento respecto de delitos. </w:t>
      </w:r>
    </w:p>
    <w:p w:rsidR="00031C39" w:rsidRPr="008309F3" w:rsidRDefault="00031C39" w:rsidP="00031C39">
      <w:pPr>
        <w:jc w:val="both"/>
        <w:rPr>
          <w:rFonts w:ascii="Arial" w:hAnsi="Arial" w:cs="Arial"/>
          <w:sz w:val="24"/>
          <w:szCs w:val="24"/>
        </w:rPr>
      </w:pPr>
    </w:p>
    <w:p w:rsidR="00031C39" w:rsidRPr="00031C39" w:rsidRDefault="00031C39" w:rsidP="00031C39">
      <w:pPr>
        <w:ind w:left="708"/>
        <w:jc w:val="both"/>
        <w:rPr>
          <w:rFonts w:ascii="Arial" w:hAnsi="Arial" w:cs="Arial"/>
          <w:sz w:val="24"/>
          <w:szCs w:val="24"/>
        </w:rPr>
      </w:pPr>
      <w:r w:rsidRPr="008309F3">
        <w:rPr>
          <w:rFonts w:ascii="Arial" w:hAnsi="Arial" w:cs="Arial"/>
          <w:sz w:val="24"/>
          <w:szCs w:val="24"/>
        </w:rPr>
        <w:t>Por otro lado, una ley con normas procesales en pleno siglo XXI, se queda corta respecto del aprovechamiento de medios tecnológicos para facilitar la realización de audiencias y agilidad del proceso. En efecto, uno de los grandes problemas que tiene la ley 906 de 2004, es la falta de aprovechamiento de recursos tecnológicos. Por lo que sería de gran utilidad poder hacer uso de la tecnología. Un claro ejemplo de esto, es el Código General del Proceso, que permite al juez realizar la práctica de la prueba vía videoconferencia en caso que no pueda asistir personalmente a la audiencia (artículo 37, CGP). De este modo, si dentro del proceso penal también se empieza a utilizar la implementación de medios tecnológicos, puede ser un paso para que se disminuyan los índices de aplazamiento de audiencias.</w:t>
      </w:r>
      <w:r w:rsidRPr="00031C39">
        <w:rPr>
          <w:rFonts w:ascii="Arial" w:hAnsi="Arial" w:cs="Arial"/>
          <w:sz w:val="24"/>
          <w:szCs w:val="24"/>
        </w:rPr>
        <w:t xml:space="preserve"> </w:t>
      </w:r>
    </w:p>
    <w:p w:rsidR="00031C39" w:rsidRPr="00031C39" w:rsidRDefault="00031C39" w:rsidP="00A4173F">
      <w:pPr>
        <w:ind w:firstLine="708"/>
        <w:jc w:val="both"/>
        <w:rPr>
          <w:rFonts w:ascii="Arial" w:hAnsi="Arial" w:cs="Arial"/>
          <w:b/>
          <w:sz w:val="24"/>
          <w:szCs w:val="24"/>
        </w:rPr>
      </w:pPr>
      <w:r w:rsidRPr="00031C39">
        <w:rPr>
          <w:rFonts w:ascii="Arial" w:hAnsi="Arial" w:cs="Arial"/>
          <w:b/>
          <w:sz w:val="24"/>
          <w:szCs w:val="24"/>
        </w:rPr>
        <w:t>Acción penal privada</w:t>
      </w:r>
    </w:p>
    <w:p w:rsidR="00031C39" w:rsidRPr="00031C39" w:rsidRDefault="00031C39" w:rsidP="00031C39">
      <w:pPr>
        <w:spacing w:after="0" w:line="240" w:lineRule="auto"/>
        <w:ind w:left="708"/>
        <w:jc w:val="both"/>
        <w:rPr>
          <w:rFonts w:ascii="Arial" w:hAnsi="Arial" w:cs="Arial"/>
          <w:sz w:val="24"/>
          <w:szCs w:val="24"/>
        </w:rPr>
      </w:pPr>
      <w:r w:rsidRPr="00031C39">
        <w:rPr>
          <w:rFonts w:ascii="Arial" w:hAnsi="Arial" w:cs="Arial"/>
          <w:sz w:val="24"/>
          <w:szCs w:val="24"/>
        </w:rPr>
        <w:t xml:space="preserve">Como uno de los aspectos más importantes de la iniciativa, se regula lo establecido en el artículo 2º del Acto Legislativo 06 de 2011, permitiendo que la víctima asuma la condición de investigador privado, en el caso de las contravenciones penales  y así lo solicite al Fiscal del caso para que en el término de un mes, verifique si es </w:t>
      </w:r>
      <w:r w:rsidRPr="00031C39">
        <w:rPr>
          <w:rFonts w:ascii="Arial" w:hAnsi="Arial" w:cs="Arial"/>
          <w:sz w:val="24"/>
          <w:szCs w:val="24"/>
        </w:rPr>
        <w:lastRenderedPageBreak/>
        <w:t>procedente o no la conversión de la acción penal, manteniendo la Fiscalía General de la Nación el poder preferente, estableciendo además la posibilidad de revertir la acción privada en cualquiera de las etapas procesales cuando sobrevenga alguna situación que así lo amerite.</w:t>
      </w:r>
    </w:p>
    <w:p w:rsidR="00031C39" w:rsidRPr="00031C39" w:rsidRDefault="00031C39" w:rsidP="00031C39">
      <w:pPr>
        <w:jc w:val="both"/>
        <w:rPr>
          <w:rFonts w:ascii="Arial" w:hAnsi="Arial" w:cs="Arial"/>
          <w:b/>
          <w:sz w:val="24"/>
          <w:szCs w:val="24"/>
        </w:rPr>
      </w:pPr>
    </w:p>
    <w:p w:rsidR="00031C39" w:rsidRPr="008309F3" w:rsidRDefault="00031C39" w:rsidP="00031C39">
      <w:pPr>
        <w:ind w:left="708"/>
        <w:jc w:val="both"/>
        <w:rPr>
          <w:rFonts w:ascii="Arial" w:hAnsi="Arial" w:cs="Arial"/>
          <w:sz w:val="24"/>
          <w:szCs w:val="24"/>
        </w:rPr>
      </w:pPr>
      <w:r w:rsidRPr="008309F3">
        <w:rPr>
          <w:rFonts w:ascii="Arial" w:hAnsi="Arial" w:cs="Arial"/>
          <w:sz w:val="24"/>
          <w:szCs w:val="24"/>
        </w:rPr>
        <w:t>Así, las facultades del investigador privado, enmarcadas en el artículo 555 de proyecto de ley, cabe mencionar que no hay claridad respecto de los actos complejos de investigación. Lo anterior en la medida que si bien es claro que el investigador privado no podrá realizar dichos actos, surge la duda si estamos ante una omisión legislativa parcial. Por que, no se menciona nada acerca de la posibilidad de que el investigador privado, en caso de que necesite de la realización de un acto complejo para probar un hecho, pueda acudir ante la Fiscalía. Es decir, el proyecto de ley debería ser más claro frente a este punto, y determinar si una vez se adquiere la calidad de investigador privado y se necesita la realización de un acto complejo, este puede ser solicitado a la fiscalía para que este lo realice, o si por el contrario, se pierde la facultad de poder realizar un acto complejo dentro del proceso.</w:t>
      </w:r>
    </w:p>
    <w:p w:rsidR="00031C39" w:rsidRPr="008309F3" w:rsidRDefault="00031C39" w:rsidP="00031C39">
      <w:pPr>
        <w:jc w:val="both"/>
        <w:rPr>
          <w:rFonts w:ascii="Arial" w:hAnsi="Arial" w:cs="Arial"/>
          <w:sz w:val="24"/>
          <w:szCs w:val="24"/>
        </w:rPr>
      </w:pPr>
    </w:p>
    <w:p w:rsidR="00031C39" w:rsidRPr="00031C39" w:rsidRDefault="00031C39" w:rsidP="00031C39">
      <w:pPr>
        <w:ind w:left="708"/>
        <w:jc w:val="both"/>
        <w:rPr>
          <w:rFonts w:ascii="Arial" w:hAnsi="Arial" w:cs="Arial"/>
          <w:sz w:val="24"/>
          <w:szCs w:val="24"/>
        </w:rPr>
      </w:pPr>
      <w:r w:rsidRPr="008309F3">
        <w:rPr>
          <w:rFonts w:ascii="Arial" w:hAnsi="Arial" w:cs="Arial"/>
          <w:sz w:val="24"/>
          <w:szCs w:val="24"/>
        </w:rPr>
        <w:t>En caso que el investigador privado no pueda realizar actos complejos por su cuenta o a través de la Fiscalía, esto podría resultar en un desincentivo para la víctima, en tomar el papel de fiscal dentro del caso. Lo anterior, porque parte de una desventaja respecto de la labor investigativa que podría realizar la Fiscalía. En este sentido, si lo que se pretende es entregarle la facultad a personas naturales de ejercer la acción penal, deben dársele todas las garantías para que la pueda ejecutar como si fuera el mismo Estado quien ejerciera la acción. En este orden de ideas, las posibles soluciones vendrían siendo facultar al investigador privado a que realice actos complejos, o que en caso de que se necesite la realización de uno de estos actos, se pueda realizar a través de la Fiscalía General de la Nación.</w:t>
      </w:r>
      <w:r w:rsidRPr="00031C39">
        <w:rPr>
          <w:rFonts w:ascii="Arial" w:hAnsi="Arial" w:cs="Arial"/>
          <w:sz w:val="24"/>
          <w:szCs w:val="24"/>
        </w:rPr>
        <w:t xml:space="preserve"> </w:t>
      </w:r>
    </w:p>
    <w:p w:rsidR="00031C39" w:rsidRPr="00031C39" w:rsidRDefault="00031C39" w:rsidP="00031C39">
      <w:pPr>
        <w:jc w:val="both"/>
        <w:rPr>
          <w:rFonts w:ascii="Arial" w:hAnsi="Arial" w:cs="Arial"/>
          <w:sz w:val="24"/>
          <w:szCs w:val="24"/>
        </w:rPr>
      </w:pPr>
    </w:p>
    <w:p w:rsidR="00031C39" w:rsidRPr="00031C39" w:rsidRDefault="00031C39" w:rsidP="00031C39">
      <w:pPr>
        <w:ind w:left="708"/>
        <w:jc w:val="both"/>
        <w:rPr>
          <w:rFonts w:ascii="Arial" w:hAnsi="Arial" w:cs="Arial"/>
          <w:b/>
          <w:sz w:val="24"/>
          <w:szCs w:val="24"/>
        </w:rPr>
      </w:pPr>
      <w:r w:rsidRPr="00031C39">
        <w:rPr>
          <w:rFonts w:ascii="Arial" w:hAnsi="Arial" w:cs="Arial"/>
          <w:b/>
          <w:sz w:val="24"/>
          <w:szCs w:val="24"/>
        </w:rPr>
        <w:t>De los delitos y las contravenciones en materia de dosificación</w:t>
      </w:r>
    </w:p>
    <w:p w:rsidR="00031C39" w:rsidRPr="00031C39" w:rsidRDefault="00031C39" w:rsidP="00031C39">
      <w:pPr>
        <w:jc w:val="both"/>
        <w:rPr>
          <w:rFonts w:ascii="Arial" w:hAnsi="Arial" w:cs="Arial"/>
          <w:b/>
          <w:sz w:val="24"/>
          <w:szCs w:val="24"/>
        </w:rPr>
      </w:pPr>
    </w:p>
    <w:p w:rsidR="00031C39" w:rsidRPr="00031C39" w:rsidRDefault="00031C39" w:rsidP="00031C39">
      <w:pPr>
        <w:ind w:left="708"/>
        <w:jc w:val="both"/>
        <w:rPr>
          <w:rFonts w:ascii="Arial" w:hAnsi="Arial" w:cs="Arial"/>
          <w:sz w:val="24"/>
          <w:szCs w:val="24"/>
        </w:rPr>
      </w:pPr>
      <w:r w:rsidRPr="008309F3">
        <w:rPr>
          <w:rFonts w:ascii="Arial" w:hAnsi="Arial" w:cs="Arial"/>
          <w:sz w:val="24"/>
          <w:szCs w:val="24"/>
        </w:rPr>
        <w:t xml:space="preserve">La gran diferencia entre los delitos y las contravenciones es que los primeros son las conductas mas gravosas del ordenamiento jurídico  y las contravenciones son conducta punible de menor gravedad. En este sentido, la dosificación de la pena </w:t>
      </w:r>
      <w:r w:rsidRPr="008309F3">
        <w:rPr>
          <w:rFonts w:ascii="Arial" w:hAnsi="Arial" w:cs="Arial"/>
          <w:sz w:val="24"/>
          <w:szCs w:val="24"/>
        </w:rPr>
        <w:lastRenderedPageBreak/>
        <w:t>de los mismos se debe ver reflejada en esta realidad; es decir, las penas de los delitos, siendo estas conductas mas lesivas deben tener penas más altas y las contravenciones penas más bajas. No obstante, en el presente proyecto de ley hay contravenciones con penas más altas que ciertos delitos y esto debería ser objeto de estudio. Lo anterior, en razón que podría darse el supuesto de enfrentarse a demandas de inconstitucionalidad por las penas. Por ejemplo, el artículo 477 del proyecto de ley, referente a la ayuda o inducción al suicidio tiene una pena más alta que ciertos delitos, aun cuando se entiende que estamos ante una contravención. Sin embargo, un posible argumento para subsanar esta pena, es el de tomar una postura en donde la contravención dependa del bien jurídico. Es decir, la contravención puede entenderse como una conducta de menor lesividad respecto del bien jurídico, pero, bajo el entendimiento que hay bienes jurídicos más o menos importantes, entonces las contravenciones de bienes jurídicos superiores, podrán incluso tener más pena que delitos de bienes jurídicos de menor valía.</w:t>
      </w:r>
      <w:r w:rsidRPr="00031C39">
        <w:rPr>
          <w:rFonts w:ascii="Arial" w:hAnsi="Arial" w:cs="Arial"/>
          <w:sz w:val="24"/>
          <w:szCs w:val="24"/>
        </w:rPr>
        <w:t xml:space="preserve"> </w:t>
      </w:r>
    </w:p>
    <w:p w:rsidR="00031C39" w:rsidRPr="00EA2E07" w:rsidRDefault="00031C39" w:rsidP="005D1B80">
      <w:pPr>
        <w:spacing w:after="0" w:line="240" w:lineRule="auto"/>
        <w:ind w:left="708"/>
        <w:jc w:val="both"/>
        <w:rPr>
          <w:rFonts w:ascii="Arial" w:hAnsi="Arial" w:cs="Arial"/>
          <w:sz w:val="24"/>
          <w:szCs w:val="24"/>
        </w:rPr>
      </w:pPr>
    </w:p>
    <w:p w:rsidR="00082CB4" w:rsidRPr="00EA2E07" w:rsidRDefault="00082CB4" w:rsidP="00082CB4">
      <w:pPr>
        <w:spacing w:after="0" w:line="240" w:lineRule="auto"/>
        <w:jc w:val="both"/>
        <w:rPr>
          <w:rFonts w:ascii="Arial" w:hAnsi="Arial" w:cs="Arial"/>
          <w:sz w:val="24"/>
          <w:szCs w:val="24"/>
        </w:rPr>
      </w:pPr>
    </w:p>
    <w:p w:rsidR="005D1B80" w:rsidRPr="00EA2E07" w:rsidRDefault="005D1B80" w:rsidP="005D1B80">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lang w:val="es-ES_tradnl"/>
        </w:rPr>
      </w:pPr>
      <w:r>
        <w:rPr>
          <w:rFonts w:ascii="Arial" w:hAnsi="Arial" w:cs="Arial"/>
          <w:b/>
          <w:lang w:val="es-ES_tradnl"/>
        </w:rPr>
        <w:t>PRIMER DEBATE COMISIÓN PRIMERA</w:t>
      </w:r>
    </w:p>
    <w:p w:rsidR="005D1B80" w:rsidRDefault="005D1B80" w:rsidP="005E61BF">
      <w:pPr>
        <w:spacing w:after="0" w:line="240" w:lineRule="auto"/>
        <w:jc w:val="both"/>
        <w:rPr>
          <w:rFonts w:ascii="Arial" w:hAnsi="Arial" w:cs="Arial"/>
          <w:sz w:val="24"/>
          <w:szCs w:val="24"/>
        </w:rPr>
      </w:pPr>
    </w:p>
    <w:p w:rsidR="00211D97" w:rsidRPr="00EA2E07" w:rsidRDefault="009658BC" w:rsidP="005D1B80">
      <w:pPr>
        <w:spacing w:after="0" w:line="240" w:lineRule="auto"/>
        <w:ind w:left="708"/>
        <w:jc w:val="both"/>
        <w:rPr>
          <w:rFonts w:ascii="Arial" w:hAnsi="Arial" w:cs="Arial"/>
          <w:sz w:val="24"/>
          <w:szCs w:val="24"/>
        </w:rPr>
      </w:pPr>
      <w:r w:rsidRPr="00EA2E07">
        <w:rPr>
          <w:rFonts w:ascii="Arial" w:hAnsi="Arial" w:cs="Arial"/>
          <w:sz w:val="24"/>
          <w:szCs w:val="24"/>
        </w:rPr>
        <w:t xml:space="preserve">El pasado 08 de septiembre se dio la discusión, votación y aprobación por unanimidad, del Proyecto de Ley 048 de 2015, </w:t>
      </w:r>
      <w:r w:rsidR="00BB38C1" w:rsidRPr="00EA2E07">
        <w:rPr>
          <w:rFonts w:ascii="Arial" w:hAnsi="Arial" w:cs="Arial"/>
          <w:sz w:val="24"/>
          <w:szCs w:val="24"/>
        </w:rPr>
        <w:t xml:space="preserve">en la Comisión Primera del Senado de la República, </w:t>
      </w:r>
      <w:r w:rsidRPr="00EA2E07">
        <w:rPr>
          <w:rFonts w:ascii="Arial" w:hAnsi="Arial" w:cs="Arial"/>
          <w:sz w:val="24"/>
          <w:szCs w:val="24"/>
        </w:rPr>
        <w:t>durante el desarrollo del debate se hizo claridad en torno a la importancia de la iniciativa, aclarando que éste proyecto está encaminado a  dotar de mayor agilidad los procedimientos que se consideran de menor entidad, no porque su impacto sea menor, sino porque reviste de mayor importancia para la víctima que para el mismo Estado.</w:t>
      </w:r>
    </w:p>
    <w:p w:rsidR="009658BC" w:rsidRPr="00EA2E07" w:rsidRDefault="009658BC" w:rsidP="005D1B80">
      <w:pPr>
        <w:spacing w:after="0" w:line="240" w:lineRule="auto"/>
        <w:ind w:left="708"/>
        <w:jc w:val="both"/>
        <w:rPr>
          <w:rFonts w:ascii="Arial" w:hAnsi="Arial" w:cs="Arial"/>
          <w:sz w:val="24"/>
          <w:szCs w:val="24"/>
        </w:rPr>
      </w:pPr>
    </w:p>
    <w:p w:rsidR="009658BC" w:rsidRPr="00EA2E07" w:rsidRDefault="009658BC" w:rsidP="005D1B80">
      <w:pPr>
        <w:spacing w:after="0" w:line="240" w:lineRule="auto"/>
        <w:ind w:left="708"/>
        <w:jc w:val="both"/>
        <w:rPr>
          <w:rFonts w:ascii="Arial" w:hAnsi="Arial" w:cs="Arial"/>
          <w:sz w:val="24"/>
          <w:szCs w:val="24"/>
        </w:rPr>
      </w:pPr>
      <w:r w:rsidRPr="00EA2E07">
        <w:rPr>
          <w:rFonts w:ascii="Arial" w:hAnsi="Arial" w:cs="Arial"/>
          <w:sz w:val="24"/>
          <w:szCs w:val="24"/>
        </w:rPr>
        <w:t xml:space="preserve">La nueva denominación que se le da a determinadas conductas punibles de contravenciones y no de delitos, no tiene ningún impacto </w:t>
      </w:r>
      <w:r w:rsidR="00BB38C1" w:rsidRPr="00EA2E07">
        <w:rPr>
          <w:rFonts w:ascii="Arial" w:hAnsi="Arial" w:cs="Arial"/>
          <w:sz w:val="24"/>
          <w:szCs w:val="24"/>
        </w:rPr>
        <w:t>en la pena, y figuras como las medidas de aseguramiento y los subrogados penales se mantienen con los mismos requisitos de aplicabilidad.</w:t>
      </w:r>
    </w:p>
    <w:p w:rsidR="00BB38C1" w:rsidRPr="00EA2E07" w:rsidRDefault="00BB38C1" w:rsidP="005D1B80">
      <w:pPr>
        <w:spacing w:after="0" w:line="240" w:lineRule="auto"/>
        <w:ind w:left="708"/>
        <w:jc w:val="both"/>
        <w:rPr>
          <w:rFonts w:ascii="Arial" w:hAnsi="Arial" w:cs="Arial"/>
          <w:sz w:val="24"/>
          <w:szCs w:val="24"/>
        </w:rPr>
      </w:pPr>
    </w:p>
    <w:p w:rsidR="00BB38C1" w:rsidRPr="00EA2E07" w:rsidRDefault="00BB38C1" w:rsidP="005D1B80">
      <w:pPr>
        <w:spacing w:after="0" w:line="240" w:lineRule="auto"/>
        <w:ind w:left="708"/>
        <w:jc w:val="both"/>
        <w:rPr>
          <w:rFonts w:ascii="Arial" w:hAnsi="Arial" w:cs="Arial"/>
          <w:sz w:val="24"/>
          <w:szCs w:val="24"/>
        </w:rPr>
      </w:pPr>
      <w:r w:rsidRPr="00EA2E07">
        <w:rPr>
          <w:rFonts w:ascii="Arial" w:hAnsi="Arial" w:cs="Arial"/>
          <w:sz w:val="24"/>
          <w:szCs w:val="24"/>
        </w:rPr>
        <w:t>Durante el debate el Ponente dejó claro, que éste proyecto busca contribuir con la descongestión judicial en dos vías, la primera, disminuyendo el número de audiencias del procedimiento penal ordinario y la segunda desarrollando la figura del investigador privado consagrado en el Acto Legislativo 06 de 2011.</w:t>
      </w:r>
    </w:p>
    <w:p w:rsidR="00BB38C1" w:rsidRPr="00EA2E07" w:rsidRDefault="00BB38C1" w:rsidP="005D1B80">
      <w:pPr>
        <w:spacing w:after="0" w:line="240" w:lineRule="auto"/>
        <w:ind w:left="708"/>
        <w:jc w:val="both"/>
        <w:rPr>
          <w:rFonts w:ascii="Arial" w:hAnsi="Arial" w:cs="Arial"/>
          <w:sz w:val="24"/>
          <w:szCs w:val="24"/>
        </w:rPr>
      </w:pPr>
    </w:p>
    <w:p w:rsidR="00BB38C1" w:rsidRPr="00EA2E07" w:rsidRDefault="00BB38C1" w:rsidP="005D1B80">
      <w:pPr>
        <w:spacing w:after="0" w:line="240" w:lineRule="auto"/>
        <w:ind w:left="708"/>
        <w:jc w:val="both"/>
        <w:rPr>
          <w:rFonts w:ascii="Arial" w:hAnsi="Arial" w:cs="Arial"/>
          <w:sz w:val="24"/>
          <w:szCs w:val="24"/>
        </w:rPr>
      </w:pPr>
      <w:r w:rsidRPr="00EA2E07">
        <w:rPr>
          <w:rFonts w:ascii="Arial" w:hAnsi="Arial" w:cs="Arial"/>
          <w:sz w:val="24"/>
          <w:szCs w:val="24"/>
        </w:rPr>
        <w:t xml:space="preserve">Una de las principales inquietudes que se presentaron en el debate, es el acceso de las personas de menos recursos al investigador privado, frente a esto el ponente aclaró que la figura del investigador privado es optativa, quien tenga la posibilidad de acceder a esta lo puede hacer, quien no, puede acudir a la Fiscalía </w:t>
      </w:r>
      <w:r w:rsidRPr="00EA2E07">
        <w:rPr>
          <w:rFonts w:ascii="Arial" w:hAnsi="Arial" w:cs="Arial"/>
          <w:sz w:val="24"/>
          <w:szCs w:val="24"/>
        </w:rPr>
        <w:lastRenderedPageBreak/>
        <w:t>General de la Nación como en la actualidad, sin embargo una persona que no tenga los recursos para contratar un investigador privado y no quiera acudir a la Fiscalía, puede acudir a los Consultorios Jurídicos de las universidades, que podrán cumplir las mismas funciones que los apoderados para los efectos de la investigación privada.</w:t>
      </w:r>
    </w:p>
    <w:p w:rsidR="00BB38C1" w:rsidRPr="00EA2E07" w:rsidRDefault="00BB38C1" w:rsidP="005D1B80">
      <w:pPr>
        <w:spacing w:after="0" w:line="240" w:lineRule="auto"/>
        <w:ind w:left="708"/>
        <w:jc w:val="both"/>
        <w:rPr>
          <w:rFonts w:ascii="Arial" w:hAnsi="Arial" w:cs="Arial"/>
          <w:sz w:val="24"/>
          <w:szCs w:val="24"/>
        </w:rPr>
      </w:pPr>
    </w:p>
    <w:p w:rsidR="003923FC" w:rsidRPr="00EA2E07" w:rsidRDefault="0005235B" w:rsidP="005D1B80">
      <w:pPr>
        <w:spacing w:after="0" w:line="240" w:lineRule="auto"/>
        <w:ind w:left="708"/>
        <w:jc w:val="both"/>
        <w:rPr>
          <w:rFonts w:ascii="Arial" w:hAnsi="Arial" w:cs="Arial"/>
          <w:sz w:val="24"/>
          <w:szCs w:val="24"/>
        </w:rPr>
      </w:pPr>
      <w:r w:rsidRPr="00EA2E07">
        <w:rPr>
          <w:rFonts w:ascii="Arial" w:hAnsi="Arial" w:cs="Arial"/>
          <w:sz w:val="24"/>
          <w:szCs w:val="24"/>
        </w:rPr>
        <w:t xml:space="preserve">Finalmente, en el transcurso del debate </w:t>
      </w:r>
      <w:r w:rsidR="00F81845" w:rsidRPr="00EA2E07">
        <w:rPr>
          <w:rFonts w:ascii="Arial" w:hAnsi="Arial" w:cs="Arial"/>
          <w:sz w:val="24"/>
          <w:szCs w:val="24"/>
        </w:rPr>
        <w:t xml:space="preserve">se concertó entre los miembros de la Comisión, una proposición presentada por el Senador Germán Varón en torno a la procedencia de la medida de aseguramiento privativa de la libertad para los presuntos autores de contravenciones, cuando se trate de una conducta reincidente y se compruebe la </w:t>
      </w:r>
      <w:r w:rsidR="002C079A" w:rsidRPr="00EA2E07">
        <w:rPr>
          <w:rFonts w:ascii="Arial" w:hAnsi="Arial" w:cs="Arial"/>
          <w:sz w:val="24"/>
          <w:szCs w:val="24"/>
        </w:rPr>
        <w:t xml:space="preserve">falta de arraigo del procesado, esta proposición que modifica el artículo 117 del Proyecto de Ley, fue aprobada por unanimidad. </w:t>
      </w:r>
    </w:p>
    <w:p w:rsidR="004B4C67" w:rsidRPr="00EA2E07" w:rsidRDefault="004B4C67" w:rsidP="005E61BF">
      <w:pPr>
        <w:spacing w:after="0" w:line="240" w:lineRule="auto"/>
        <w:jc w:val="both"/>
        <w:rPr>
          <w:rFonts w:ascii="Arial" w:hAnsi="Arial" w:cs="Arial"/>
          <w:sz w:val="24"/>
          <w:szCs w:val="24"/>
        </w:rPr>
      </w:pPr>
    </w:p>
    <w:p w:rsidR="003923FC" w:rsidRDefault="003923FC" w:rsidP="005E61BF">
      <w:pPr>
        <w:spacing w:after="0" w:line="240" w:lineRule="auto"/>
        <w:jc w:val="both"/>
        <w:rPr>
          <w:rFonts w:ascii="Arial" w:hAnsi="Arial" w:cs="Arial"/>
          <w:sz w:val="24"/>
          <w:szCs w:val="24"/>
        </w:rPr>
      </w:pPr>
    </w:p>
    <w:p w:rsidR="00C26F2E" w:rsidRDefault="00C26F2E" w:rsidP="005E61BF">
      <w:pPr>
        <w:spacing w:after="0" w:line="240" w:lineRule="auto"/>
        <w:jc w:val="both"/>
        <w:rPr>
          <w:rFonts w:ascii="Arial" w:hAnsi="Arial" w:cs="Arial"/>
          <w:sz w:val="24"/>
          <w:szCs w:val="24"/>
        </w:rPr>
      </w:pPr>
    </w:p>
    <w:p w:rsidR="00C26F2E" w:rsidRPr="004C22C2" w:rsidRDefault="00C26F2E" w:rsidP="00C26F2E">
      <w:pPr>
        <w:pStyle w:val="Listavistosa-nfasis11"/>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lang w:val="es-ES_tradnl"/>
        </w:rPr>
      </w:pPr>
      <w:r w:rsidRPr="004C22C2">
        <w:rPr>
          <w:rFonts w:ascii="Arial" w:hAnsi="Arial" w:cs="Arial"/>
          <w:b/>
          <w:lang w:val="es-ES_tradnl"/>
        </w:rPr>
        <w:t>SEGUNDO DEBATE PLENARIA DEL SENADO</w:t>
      </w:r>
    </w:p>
    <w:p w:rsidR="00C26F2E" w:rsidRPr="004C22C2" w:rsidRDefault="00C26F2E" w:rsidP="005E61BF">
      <w:pPr>
        <w:spacing w:after="0" w:line="240" w:lineRule="auto"/>
        <w:jc w:val="both"/>
        <w:rPr>
          <w:rFonts w:ascii="Arial" w:hAnsi="Arial" w:cs="Arial"/>
          <w:sz w:val="24"/>
          <w:szCs w:val="24"/>
        </w:rPr>
      </w:pPr>
    </w:p>
    <w:p w:rsidR="00C26F2E" w:rsidRPr="004C22C2" w:rsidRDefault="00C26F2E" w:rsidP="005E61BF">
      <w:pPr>
        <w:spacing w:after="0" w:line="240" w:lineRule="auto"/>
        <w:jc w:val="both"/>
        <w:rPr>
          <w:rFonts w:ascii="Arial" w:hAnsi="Arial" w:cs="Arial"/>
          <w:sz w:val="24"/>
          <w:szCs w:val="24"/>
        </w:rPr>
      </w:pPr>
    </w:p>
    <w:p w:rsidR="00E04171" w:rsidRDefault="00203E53" w:rsidP="00F53751">
      <w:pPr>
        <w:spacing w:after="0" w:line="240" w:lineRule="auto"/>
        <w:ind w:left="708"/>
        <w:jc w:val="both"/>
        <w:rPr>
          <w:rFonts w:ascii="Arial" w:hAnsi="Arial" w:cs="Arial"/>
          <w:sz w:val="24"/>
          <w:szCs w:val="24"/>
        </w:rPr>
      </w:pPr>
      <w:r>
        <w:rPr>
          <w:rFonts w:ascii="Arial" w:hAnsi="Arial" w:cs="Arial"/>
          <w:sz w:val="24"/>
          <w:szCs w:val="24"/>
        </w:rPr>
        <w:t xml:space="preserve">La aprobación del </w:t>
      </w:r>
      <w:r w:rsidR="00E04171" w:rsidRPr="004C22C2">
        <w:rPr>
          <w:rFonts w:ascii="Arial" w:hAnsi="Arial" w:cs="Arial"/>
          <w:sz w:val="24"/>
          <w:szCs w:val="24"/>
        </w:rPr>
        <w:t xml:space="preserve">segundo debate </w:t>
      </w:r>
      <w:r w:rsidRPr="004C22C2">
        <w:rPr>
          <w:rFonts w:ascii="Arial" w:hAnsi="Arial" w:cs="Arial"/>
          <w:sz w:val="24"/>
          <w:szCs w:val="24"/>
        </w:rPr>
        <w:t>del Proyecto de Ley 48 de</w:t>
      </w:r>
      <w:r>
        <w:rPr>
          <w:rFonts w:ascii="Arial" w:hAnsi="Arial" w:cs="Arial"/>
          <w:sz w:val="24"/>
          <w:szCs w:val="24"/>
        </w:rPr>
        <w:t xml:space="preserve"> 2015 Senado </w:t>
      </w:r>
      <w:r w:rsidR="00E04171" w:rsidRPr="004C22C2">
        <w:rPr>
          <w:rFonts w:ascii="Arial" w:hAnsi="Arial" w:cs="Arial"/>
          <w:sz w:val="24"/>
          <w:szCs w:val="24"/>
        </w:rPr>
        <w:t xml:space="preserve">se llevó a cabo durante </w:t>
      </w:r>
      <w:r w:rsidRPr="004C22C2">
        <w:rPr>
          <w:rFonts w:ascii="Arial" w:hAnsi="Arial" w:cs="Arial"/>
          <w:sz w:val="24"/>
          <w:szCs w:val="24"/>
        </w:rPr>
        <w:t>la sesión</w:t>
      </w:r>
      <w:r w:rsidR="00E04171" w:rsidRPr="004C22C2">
        <w:rPr>
          <w:rFonts w:ascii="Arial" w:hAnsi="Arial" w:cs="Arial"/>
          <w:sz w:val="24"/>
          <w:szCs w:val="24"/>
        </w:rPr>
        <w:t xml:space="preserve"> de</w:t>
      </w:r>
      <w:r>
        <w:rPr>
          <w:rFonts w:ascii="Arial" w:hAnsi="Arial" w:cs="Arial"/>
          <w:sz w:val="24"/>
          <w:szCs w:val="24"/>
        </w:rPr>
        <w:t>l</w:t>
      </w:r>
      <w:r w:rsidR="00E04171" w:rsidRPr="004C22C2">
        <w:rPr>
          <w:rFonts w:ascii="Arial" w:hAnsi="Arial" w:cs="Arial"/>
          <w:sz w:val="24"/>
          <w:szCs w:val="24"/>
        </w:rPr>
        <w:t xml:space="preserve"> </w:t>
      </w:r>
      <w:r>
        <w:rPr>
          <w:rFonts w:ascii="Arial" w:hAnsi="Arial" w:cs="Arial"/>
          <w:sz w:val="24"/>
          <w:szCs w:val="24"/>
        </w:rPr>
        <w:t>25 de noviembre de 2015</w:t>
      </w:r>
      <w:r w:rsidR="00F53751" w:rsidRPr="004C22C2">
        <w:rPr>
          <w:rFonts w:ascii="Arial" w:hAnsi="Arial" w:cs="Arial"/>
          <w:sz w:val="24"/>
          <w:szCs w:val="24"/>
        </w:rPr>
        <w:t xml:space="preserve"> </w:t>
      </w:r>
    </w:p>
    <w:p w:rsidR="00E04171" w:rsidRDefault="00E04171" w:rsidP="00F53751">
      <w:pPr>
        <w:spacing w:after="0" w:line="240" w:lineRule="auto"/>
        <w:ind w:left="708"/>
        <w:jc w:val="both"/>
        <w:rPr>
          <w:rFonts w:ascii="Arial" w:hAnsi="Arial" w:cs="Arial"/>
          <w:sz w:val="24"/>
          <w:szCs w:val="24"/>
        </w:rPr>
      </w:pPr>
    </w:p>
    <w:p w:rsidR="00E04171" w:rsidRDefault="00E04171" w:rsidP="00F53751">
      <w:pPr>
        <w:spacing w:after="0" w:line="240" w:lineRule="auto"/>
        <w:ind w:left="708"/>
        <w:jc w:val="both"/>
        <w:rPr>
          <w:rFonts w:ascii="Arial" w:hAnsi="Arial" w:cs="Arial"/>
          <w:sz w:val="24"/>
          <w:szCs w:val="24"/>
        </w:rPr>
      </w:pPr>
      <w:r>
        <w:rPr>
          <w:rFonts w:ascii="Arial" w:hAnsi="Arial" w:cs="Arial"/>
          <w:sz w:val="24"/>
          <w:szCs w:val="24"/>
        </w:rPr>
        <w:t xml:space="preserve">En la sesión del día 19 de noviembre se dispuso aprobar todas las disposiciones del proyecto de ley que no tenían proposición alguna, al tiempo en que se dispuso la creación de un Subcomité para estudiar aquellos con proposiciones presentadas. </w:t>
      </w:r>
    </w:p>
    <w:p w:rsidR="00E04171" w:rsidRDefault="00E04171" w:rsidP="00F53751">
      <w:pPr>
        <w:spacing w:after="0" w:line="240" w:lineRule="auto"/>
        <w:ind w:left="708"/>
        <w:jc w:val="both"/>
        <w:rPr>
          <w:rFonts w:ascii="Arial" w:hAnsi="Arial" w:cs="Arial"/>
          <w:sz w:val="24"/>
          <w:szCs w:val="24"/>
        </w:rPr>
      </w:pPr>
    </w:p>
    <w:p w:rsidR="00E04171" w:rsidRDefault="00E04171" w:rsidP="00F53751">
      <w:pPr>
        <w:spacing w:after="0" w:line="240" w:lineRule="auto"/>
        <w:ind w:left="708"/>
        <w:jc w:val="both"/>
        <w:rPr>
          <w:rFonts w:ascii="Arial" w:hAnsi="Arial" w:cs="Arial"/>
          <w:sz w:val="24"/>
          <w:szCs w:val="24"/>
        </w:rPr>
      </w:pPr>
      <w:r>
        <w:rPr>
          <w:rFonts w:ascii="Arial" w:hAnsi="Arial" w:cs="Arial"/>
          <w:sz w:val="24"/>
          <w:szCs w:val="24"/>
        </w:rPr>
        <w:t xml:space="preserve">Dicho Subcomité estuvo integrado por los HH. SS. ROY BARRERAS, GERMÁN VARÓN, ALEXANDER LÓPEZ, HERNÁN ANDRADE, DORIS VEGA, PALOMA VALENCIA y MARÍA DEL ROSARIO GUERRA. </w:t>
      </w:r>
    </w:p>
    <w:p w:rsidR="00E04171" w:rsidRDefault="00E04171" w:rsidP="00F53751">
      <w:pPr>
        <w:spacing w:after="0" w:line="240" w:lineRule="auto"/>
        <w:ind w:left="708"/>
        <w:jc w:val="both"/>
        <w:rPr>
          <w:rFonts w:ascii="Arial" w:hAnsi="Arial" w:cs="Arial"/>
          <w:sz w:val="24"/>
          <w:szCs w:val="24"/>
        </w:rPr>
      </w:pPr>
    </w:p>
    <w:p w:rsidR="00F53751" w:rsidRDefault="00E04171" w:rsidP="00F53751">
      <w:pPr>
        <w:spacing w:after="0" w:line="240" w:lineRule="auto"/>
        <w:ind w:left="708"/>
        <w:jc w:val="both"/>
        <w:rPr>
          <w:rFonts w:ascii="Arial" w:hAnsi="Arial" w:cs="Arial"/>
          <w:sz w:val="24"/>
          <w:szCs w:val="24"/>
        </w:rPr>
      </w:pPr>
      <w:r>
        <w:rPr>
          <w:rFonts w:ascii="Arial" w:hAnsi="Arial" w:cs="Arial"/>
          <w:sz w:val="24"/>
          <w:szCs w:val="24"/>
        </w:rPr>
        <w:t>El informe de la subcomisión presentó en la ple</w:t>
      </w:r>
      <w:r w:rsidR="00F53751">
        <w:rPr>
          <w:rFonts w:ascii="Arial" w:hAnsi="Arial" w:cs="Arial"/>
          <w:sz w:val="24"/>
          <w:szCs w:val="24"/>
        </w:rPr>
        <w:t>naria del Senado un total de 12</w:t>
      </w:r>
      <w:r>
        <w:rPr>
          <w:rFonts w:ascii="Arial" w:hAnsi="Arial" w:cs="Arial"/>
          <w:sz w:val="24"/>
          <w:szCs w:val="24"/>
        </w:rPr>
        <w:t xml:space="preserve"> Proposiciones Modificativas al texto presentado en segunda ponencia</w:t>
      </w:r>
      <w:r w:rsidR="00F53751">
        <w:rPr>
          <w:rFonts w:ascii="Arial" w:hAnsi="Arial" w:cs="Arial"/>
          <w:sz w:val="24"/>
          <w:szCs w:val="24"/>
        </w:rPr>
        <w:t xml:space="preserve">, relativas a </w:t>
      </w:r>
      <w:r>
        <w:rPr>
          <w:rFonts w:ascii="Arial" w:hAnsi="Arial" w:cs="Arial"/>
          <w:sz w:val="24"/>
          <w:szCs w:val="24"/>
        </w:rPr>
        <w:t xml:space="preserve">los artículos 18, </w:t>
      </w:r>
      <w:r w:rsidRPr="00DD6CCF">
        <w:rPr>
          <w:rFonts w:ascii="Arial" w:hAnsi="Arial" w:cs="Arial"/>
          <w:sz w:val="24"/>
          <w:szCs w:val="24"/>
        </w:rPr>
        <w:t xml:space="preserve">44, 53, 63, 87, </w:t>
      </w:r>
      <w:r>
        <w:rPr>
          <w:rFonts w:ascii="Arial" w:hAnsi="Arial" w:cs="Arial"/>
          <w:sz w:val="24"/>
          <w:szCs w:val="24"/>
        </w:rPr>
        <w:t xml:space="preserve">88, </w:t>
      </w:r>
      <w:r w:rsidRPr="00DD6CCF">
        <w:rPr>
          <w:rFonts w:ascii="Arial" w:hAnsi="Arial" w:cs="Arial"/>
          <w:sz w:val="24"/>
          <w:szCs w:val="24"/>
        </w:rPr>
        <w:t>91, 97, 106, 115, 136, 144</w:t>
      </w:r>
      <w:r>
        <w:rPr>
          <w:rFonts w:ascii="Arial" w:hAnsi="Arial" w:cs="Arial"/>
          <w:sz w:val="24"/>
          <w:szCs w:val="24"/>
        </w:rPr>
        <w:t xml:space="preserve"> del Proyecto de Ley</w:t>
      </w:r>
      <w:r w:rsidR="00F53751">
        <w:rPr>
          <w:rFonts w:ascii="Arial" w:hAnsi="Arial" w:cs="Arial"/>
          <w:sz w:val="24"/>
          <w:szCs w:val="24"/>
        </w:rPr>
        <w:t xml:space="preserve">. Adicionalmente, el informe de Subcomisión presentó 4 proposiciones aditivas. </w:t>
      </w:r>
    </w:p>
    <w:p w:rsidR="00F53751" w:rsidRDefault="00F53751" w:rsidP="00F53751">
      <w:pPr>
        <w:spacing w:after="0" w:line="240" w:lineRule="auto"/>
        <w:ind w:left="708"/>
        <w:jc w:val="both"/>
        <w:rPr>
          <w:rFonts w:ascii="Arial" w:hAnsi="Arial" w:cs="Arial"/>
          <w:sz w:val="24"/>
          <w:szCs w:val="24"/>
        </w:rPr>
      </w:pPr>
    </w:p>
    <w:p w:rsidR="00E04171" w:rsidRDefault="00F53751" w:rsidP="00F53751">
      <w:pPr>
        <w:spacing w:after="0" w:line="240" w:lineRule="auto"/>
        <w:ind w:left="708"/>
        <w:jc w:val="both"/>
        <w:rPr>
          <w:rFonts w:ascii="Arial" w:hAnsi="Arial" w:cs="Arial"/>
          <w:sz w:val="24"/>
          <w:szCs w:val="24"/>
        </w:rPr>
      </w:pPr>
      <w:r>
        <w:rPr>
          <w:rFonts w:ascii="Arial" w:hAnsi="Arial" w:cs="Arial"/>
          <w:sz w:val="24"/>
          <w:szCs w:val="24"/>
        </w:rPr>
        <w:t xml:space="preserve">De otro lado, el informe de la subcomisión </w:t>
      </w:r>
      <w:r w:rsidR="00E04171">
        <w:rPr>
          <w:rFonts w:ascii="Arial" w:hAnsi="Arial" w:cs="Arial"/>
          <w:sz w:val="24"/>
          <w:szCs w:val="24"/>
        </w:rPr>
        <w:t xml:space="preserve">desechó </w:t>
      </w:r>
      <w:r>
        <w:rPr>
          <w:rFonts w:ascii="Arial" w:hAnsi="Arial" w:cs="Arial"/>
          <w:sz w:val="24"/>
          <w:szCs w:val="24"/>
        </w:rPr>
        <w:t>la proposición</w:t>
      </w:r>
      <w:r w:rsidR="00E04171">
        <w:rPr>
          <w:rFonts w:ascii="Arial" w:hAnsi="Arial" w:cs="Arial"/>
          <w:sz w:val="24"/>
          <w:szCs w:val="24"/>
        </w:rPr>
        <w:t xml:space="preserve"> que buscaba una </w:t>
      </w:r>
      <w:r w:rsidR="00203E53">
        <w:rPr>
          <w:rFonts w:ascii="Arial" w:hAnsi="Arial" w:cs="Arial"/>
          <w:sz w:val="24"/>
          <w:szCs w:val="24"/>
        </w:rPr>
        <w:t>remuneración</w:t>
      </w:r>
      <w:r w:rsidR="00E04171">
        <w:rPr>
          <w:rFonts w:ascii="Arial" w:hAnsi="Arial" w:cs="Arial"/>
          <w:sz w:val="24"/>
          <w:szCs w:val="24"/>
        </w:rPr>
        <w:t xml:space="preserve"> de sus artículos y otra presentada por el Senador Antonio Guerra por considerar que “busca tipificar una nueva conducta punible que actualmente no está contemplada por el Código Penal, lo cual no concuerda con lo pretendido mediante este proyecto”.</w:t>
      </w:r>
    </w:p>
    <w:p w:rsidR="00E04171" w:rsidRDefault="00E04171" w:rsidP="00F53751">
      <w:pPr>
        <w:spacing w:after="0" w:line="240" w:lineRule="auto"/>
        <w:ind w:left="708"/>
        <w:jc w:val="both"/>
        <w:rPr>
          <w:rFonts w:ascii="Arial" w:hAnsi="Arial" w:cs="Arial"/>
          <w:sz w:val="24"/>
          <w:szCs w:val="24"/>
        </w:rPr>
      </w:pPr>
    </w:p>
    <w:p w:rsidR="00E04171" w:rsidRDefault="00E04171" w:rsidP="00F53751">
      <w:pPr>
        <w:spacing w:after="0" w:line="240" w:lineRule="auto"/>
        <w:ind w:left="708"/>
        <w:jc w:val="both"/>
        <w:rPr>
          <w:rFonts w:ascii="Arial" w:hAnsi="Arial" w:cs="Arial"/>
          <w:sz w:val="24"/>
          <w:szCs w:val="24"/>
        </w:rPr>
      </w:pPr>
      <w:r>
        <w:rPr>
          <w:rFonts w:ascii="Arial" w:hAnsi="Arial" w:cs="Arial"/>
          <w:sz w:val="24"/>
          <w:szCs w:val="24"/>
        </w:rPr>
        <w:t xml:space="preserve">El informe fue presentado a la plenaria del Senado el </w:t>
      </w:r>
      <w:r w:rsidRPr="004C22C2">
        <w:rPr>
          <w:rFonts w:ascii="Arial" w:hAnsi="Arial" w:cs="Arial"/>
          <w:sz w:val="24"/>
          <w:szCs w:val="24"/>
        </w:rPr>
        <w:t xml:space="preserve">día </w:t>
      </w:r>
      <w:r w:rsidR="00203E53">
        <w:rPr>
          <w:rFonts w:ascii="Arial" w:hAnsi="Arial" w:cs="Arial"/>
          <w:sz w:val="24"/>
          <w:szCs w:val="24"/>
        </w:rPr>
        <w:t>25 de noviembre</w:t>
      </w:r>
      <w:r>
        <w:rPr>
          <w:rFonts w:ascii="Arial" w:hAnsi="Arial" w:cs="Arial"/>
          <w:sz w:val="24"/>
          <w:szCs w:val="24"/>
        </w:rPr>
        <w:t xml:space="preserve"> y aprobado en su integridad. </w:t>
      </w:r>
    </w:p>
    <w:p w:rsidR="00E04171" w:rsidRDefault="00E04171" w:rsidP="00F53751">
      <w:pPr>
        <w:spacing w:after="0" w:line="240" w:lineRule="auto"/>
        <w:ind w:left="708"/>
        <w:jc w:val="both"/>
        <w:rPr>
          <w:rFonts w:ascii="Arial" w:hAnsi="Arial" w:cs="Arial"/>
          <w:sz w:val="24"/>
          <w:szCs w:val="24"/>
        </w:rPr>
      </w:pPr>
    </w:p>
    <w:p w:rsidR="00E04171" w:rsidRDefault="00E04171" w:rsidP="00F53751">
      <w:pPr>
        <w:spacing w:after="0" w:line="240" w:lineRule="auto"/>
        <w:ind w:left="708"/>
        <w:jc w:val="both"/>
        <w:rPr>
          <w:rFonts w:ascii="Arial" w:hAnsi="Arial" w:cs="Arial"/>
          <w:sz w:val="24"/>
          <w:szCs w:val="24"/>
        </w:rPr>
      </w:pPr>
      <w:r>
        <w:rPr>
          <w:rFonts w:ascii="Arial" w:hAnsi="Arial" w:cs="Arial"/>
          <w:sz w:val="24"/>
          <w:szCs w:val="24"/>
        </w:rPr>
        <w:lastRenderedPageBreak/>
        <w:t xml:space="preserve">Adicional a las proposiciones presentadas por vía del informe de la Subcomisión, se aprobó aquella presentada por la Senadora María del Rosario Guerra en relación con el artículo 63 del texto presentado con ocasión de la ponencia para segundo debate del Proyecto de Ley. </w:t>
      </w:r>
    </w:p>
    <w:p w:rsidR="00E04171" w:rsidRDefault="00E04171" w:rsidP="00F53751">
      <w:pPr>
        <w:spacing w:after="0" w:line="240" w:lineRule="auto"/>
        <w:ind w:left="708"/>
        <w:jc w:val="both"/>
        <w:rPr>
          <w:rFonts w:ascii="Arial" w:hAnsi="Arial" w:cs="Arial"/>
          <w:sz w:val="24"/>
          <w:szCs w:val="24"/>
        </w:rPr>
      </w:pPr>
    </w:p>
    <w:p w:rsidR="00E04171" w:rsidRDefault="00E04171" w:rsidP="00F53751">
      <w:pPr>
        <w:spacing w:after="0" w:line="240" w:lineRule="auto"/>
        <w:ind w:left="708"/>
        <w:jc w:val="both"/>
        <w:rPr>
          <w:rFonts w:ascii="Arial" w:hAnsi="Arial" w:cs="Arial"/>
          <w:sz w:val="24"/>
          <w:szCs w:val="24"/>
        </w:rPr>
      </w:pPr>
    </w:p>
    <w:p w:rsidR="00E04171" w:rsidRDefault="00E04171" w:rsidP="005E61BF">
      <w:pPr>
        <w:spacing w:after="0" w:line="240" w:lineRule="auto"/>
        <w:jc w:val="both"/>
        <w:rPr>
          <w:rFonts w:ascii="Arial" w:hAnsi="Arial" w:cs="Arial"/>
          <w:sz w:val="24"/>
          <w:szCs w:val="24"/>
        </w:rPr>
      </w:pPr>
    </w:p>
    <w:p w:rsidR="00C26F2E" w:rsidRPr="00EA2E07" w:rsidRDefault="00C26F2E" w:rsidP="005E61BF">
      <w:pPr>
        <w:spacing w:after="0" w:line="240" w:lineRule="auto"/>
        <w:jc w:val="both"/>
        <w:rPr>
          <w:rFonts w:ascii="Arial" w:hAnsi="Arial" w:cs="Arial"/>
          <w:sz w:val="24"/>
          <w:szCs w:val="24"/>
        </w:rPr>
      </w:pPr>
    </w:p>
    <w:p w:rsidR="004D4078" w:rsidRPr="00EA2E07" w:rsidRDefault="004D4078" w:rsidP="005E61BF">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lang w:val="es-ES_tradnl"/>
        </w:rPr>
      </w:pPr>
      <w:r w:rsidRPr="00EA2E07">
        <w:rPr>
          <w:rFonts w:ascii="Arial" w:hAnsi="Arial" w:cs="Arial"/>
          <w:b/>
          <w:lang w:val="es-ES_tradnl"/>
        </w:rPr>
        <w:t xml:space="preserve">PLIEGO DE MODIFICACIONES </w:t>
      </w:r>
    </w:p>
    <w:p w:rsidR="009E69CD" w:rsidRPr="00EA2E07" w:rsidRDefault="009E69CD" w:rsidP="005E61BF">
      <w:pPr>
        <w:spacing w:after="0" w:line="240" w:lineRule="auto"/>
        <w:jc w:val="both"/>
        <w:rPr>
          <w:rFonts w:ascii="Arial" w:hAnsi="Arial" w:cs="Arial"/>
          <w:b/>
          <w:sz w:val="24"/>
          <w:szCs w:val="24"/>
        </w:rPr>
      </w:pPr>
    </w:p>
    <w:p w:rsidR="00F82A53" w:rsidRPr="00EA2E07" w:rsidRDefault="00F82A53" w:rsidP="00B53650">
      <w:pPr>
        <w:spacing w:after="0" w:line="240" w:lineRule="auto"/>
        <w:jc w:val="both"/>
        <w:rPr>
          <w:rFonts w:ascii="Arial" w:hAnsi="Arial" w:cs="Arial"/>
          <w:sz w:val="24"/>
          <w:szCs w:val="24"/>
        </w:rPr>
      </w:pPr>
    </w:p>
    <w:tbl>
      <w:tblPr>
        <w:tblStyle w:val="Tablaconcuadrcula1"/>
        <w:tblW w:w="4699" w:type="pct"/>
        <w:tblLook w:val="04A0" w:firstRow="1" w:lastRow="0" w:firstColumn="1" w:lastColumn="0" w:noHBand="0" w:noVBand="1"/>
      </w:tblPr>
      <w:tblGrid>
        <w:gridCol w:w="3255"/>
        <w:gridCol w:w="3378"/>
        <w:gridCol w:w="2195"/>
      </w:tblGrid>
      <w:tr w:rsidR="00F2567A" w:rsidRPr="00F2567A" w:rsidTr="00F2567A">
        <w:tc>
          <w:tcPr>
            <w:tcW w:w="1844" w:type="pct"/>
          </w:tcPr>
          <w:p w:rsidR="00F2567A" w:rsidRPr="00F2567A" w:rsidRDefault="00F2567A" w:rsidP="00F2567A">
            <w:pPr>
              <w:jc w:val="center"/>
              <w:rPr>
                <w:rFonts w:ascii="Arial" w:eastAsia="Calibri" w:hAnsi="Arial" w:cs="Arial"/>
                <w:b/>
              </w:rPr>
            </w:pPr>
            <w:r w:rsidRPr="00F2567A">
              <w:rPr>
                <w:rFonts w:ascii="Arial" w:eastAsia="Calibri" w:hAnsi="Arial" w:cs="Arial"/>
                <w:b/>
              </w:rPr>
              <w:t>TEXTO APROBADO SEGUNDO DEBATE</w:t>
            </w:r>
          </w:p>
        </w:tc>
        <w:tc>
          <w:tcPr>
            <w:tcW w:w="1913" w:type="pct"/>
          </w:tcPr>
          <w:p w:rsidR="00F2567A" w:rsidRPr="00F2567A" w:rsidRDefault="00F2567A" w:rsidP="00F2567A">
            <w:pPr>
              <w:jc w:val="center"/>
              <w:rPr>
                <w:rFonts w:ascii="Arial" w:eastAsia="Calibri" w:hAnsi="Arial" w:cs="Arial"/>
                <w:b/>
              </w:rPr>
            </w:pPr>
            <w:r w:rsidRPr="00F2567A">
              <w:rPr>
                <w:rFonts w:ascii="Arial" w:eastAsia="Calibri" w:hAnsi="Arial" w:cs="Arial"/>
                <w:b/>
              </w:rPr>
              <w:t>MODIFICACIÓN</w:t>
            </w:r>
          </w:p>
        </w:tc>
        <w:tc>
          <w:tcPr>
            <w:tcW w:w="1243" w:type="pct"/>
          </w:tcPr>
          <w:p w:rsidR="00F2567A" w:rsidRPr="00F2567A" w:rsidRDefault="00F2567A" w:rsidP="00F2567A">
            <w:pPr>
              <w:jc w:val="center"/>
              <w:rPr>
                <w:rFonts w:ascii="Arial" w:eastAsia="Calibri" w:hAnsi="Arial" w:cs="Arial"/>
                <w:b/>
              </w:rPr>
            </w:pPr>
            <w:r w:rsidRPr="00F2567A">
              <w:rPr>
                <w:rFonts w:ascii="Arial" w:eastAsia="Calibri" w:hAnsi="Arial" w:cs="Arial"/>
                <w:b/>
              </w:rPr>
              <w:t>JUSTIFICACIÓN</w:t>
            </w:r>
          </w:p>
        </w:tc>
      </w:tr>
      <w:tr w:rsidR="00F2567A" w:rsidRPr="00F2567A" w:rsidTr="00F2567A">
        <w:tc>
          <w:tcPr>
            <w:tcW w:w="1844"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Artículo 48. La Ley 599 de 2000 tendrá un nuevo artículo 573,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573. </w:t>
            </w:r>
            <w:r w:rsidRPr="00F2567A">
              <w:rPr>
                <w:rFonts w:ascii="Arial" w:eastAsia="Calibri" w:hAnsi="Arial" w:cs="Arial"/>
                <w:bCs/>
                <w:i/>
                <w:iCs/>
                <w:sz w:val="20"/>
                <w:szCs w:val="20"/>
                <w:lang w:val="es-ES_tradnl"/>
              </w:rPr>
              <w:t>Injurias o calumnias recíprocas</w:t>
            </w:r>
            <w:r w:rsidRPr="00F2567A">
              <w:rPr>
                <w:rFonts w:ascii="Arial" w:eastAsia="Calibri" w:hAnsi="Arial" w:cs="Arial"/>
                <w:sz w:val="20"/>
                <w:szCs w:val="20"/>
                <w:lang w:val="es-ES_tradnl"/>
              </w:rPr>
              <w:t>. Si las imputaciones o agravios a que se refieren los artículos 565, 566 y 572 fueren recíprocas, se podrán declarar exentos de responsabilidad a los injuriantes o calumniantes o a cualquiera de ellos.</w:t>
            </w:r>
          </w:p>
          <w:p w:rsidR="00F2567A" w:rsidRPr="00F2567A" w:rsidRDefault="00F2567A" w:rsidP="00F2567A">
            <w:pPr>
              <w:rPr>
                <w:rFonts w:ascii="Arial" w:eastAsia="Calibri" w:hAnsi="Arial" w:cs="Arial"/>
                <w:b/>
                <w:sz w:val="20"/>
                <w:szCs w:val="20"/>
                <w:lang w:val="es-ES_tradnl"/>
              </w:rPr>
            </w:pP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Artículo 48. La Ley 599 de 2000 tendrá un nuevo artículo </w:t>
            </w:r>
            <w:r w:rsidRPr="00F2567A">
              <w:rPr>
                <w:rFonts w:ascii="Arial" w:eastAsia="Calibri" w:hAnsi="Arial" w:cs="Arial"/>
                <w:strike/>
                <w:sz w:val="20"/>
                <w:szCs w:val="20"/>
                <w:lang w:val="es-ES_tradnl"/>
              </w:rPr>
              <w:t>573</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572</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bCs/>
                <w:strike/>
                <w:sz w:val="20"/>
                <w:szCs w:val="20"/>
                <w:lang w:val="es-ES_tradnl"/>
              </w:rPr>
              <w:t>573</w:t>
            </w:r>
            <w:r w:rsidRPr="00F2567A">
              <w:rPr>
                <w:rFonts w:ascii="Arial" w:eastAsia="Calibri" w:hAnsi="Arial" w:cs="Arial"/>
                <w:bCs/>
                <w:sz w:val="20"/>
                <w:szCs w:val="20"/>
                <w:lang w:val="es-ES_tradnl"/>
              </w:rPr>
              <w:t xml:space="preserve"> </w:t>
            </w:r>
            <w:r w:rsidRPr="00F2567A">
              <w:rPr>
                <w:rFonts w:ascii="Arial" w:eastAsia="Calibri" w:hAnsi="Arial" w:cs="Arial"/>
                <w:b/>
                <w:bCs/>
                <w:sz w:val="20"/>
                <w:szCs w:val="20"/>
                <w:lang w:val="es-ES_tradnl"/>
              </w:rPr>
              <w:t>572</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Injurias o calumnias recíprocas</w:t>
            </w:r>
            <w:r w:rsidRPr="00F2567A">
              <w:rPr>
                <w:rFonts w:ascii="Arial" w:eastAsia="Calibri" w:hAnsi="Arial" w:cs="Arial"/>
                <w:sz w:val="20"/>
                <w:szCs w:val="20"/>
                <w:lang w:val="es-ES_tradnl"/>
              </w:rPr>
              <w:t xml:space="preserve">. Si las imputaciones o agravios a que se refieren los artículos 565, 566 y </w:t>
            </w:r>
            <w:r w:rsidRPr="00F2567A">
              <w:rPr>
                <w:rFonts w:ascii="Arial" w:eastAsia="Calibri" w:hAnsi="Arial" w:cs="Arial"/>
                <w:strike/>
                <w:sz w:val="20"/>
                <w:szCs w:val="20"/>
                <w:lang w:val="es-ES_tradnl"/>
              </w:rPr>
              <w:t xml:space="preserve">572 </w:t>
            </w:r>
            <w:r w:rsidRPr="00F2567A">
              <w:rPr>
                <w:rFonts w:ascii="Arial" w:eastAsia="Calibri" w:hAnsi="Arial" w:cs="Arial"/>
                <w:b/>
                <w:sz w:val="20"/>
                <w:szCs w:val="20"/>
                <w:lang w:val="es-ES_tradnl"/>
              </w:rPr>
              <w:t>571</w:t>
            </w:r>
            <w:r w:rsidRPr="00F2567A">
              <w:rPr>
                <w:rFonts w:ascii="Arial" w:eastAsia="Calibri" w:hAnsi="Arial" w:cs="Arial"/>
                <w:sz w:val="20"/>
                <w:szCs w:val="20"/>
                <w:lang w:val="es-ES_tradnl"/>
              </w:rPr>
              <w:t xml:space="preserve"> fueren recíprocas, se podrán declarar exentos de responsabilidad a los injuriantes o calumniantes o a cualquiera de ellos.</w:t>
            </w:r>
          </w:p>
        </w:tc>
        <w:tc>
          <w:tcPr>
            <w:tcW w:w="1243" w:type="pct"/>
          </w:tcPr>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Artículo 57. La Ley 599 de 2000 tendrá un nuevo artículo 579,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579. </w:t>
            </w:r>
            <w:r w:rsidRPr="00F2567A">
              <w:rPr>
                <w:rFonts w:ascii="Arial" w:eastAsia="Calibri" w:hAnsi="Arial" w:cs="Arial"/>
                <w:bCs/>
                <w:i/>
                <w:iCs/>
                <w:sz w:val="20"/>
                <w:szCs w:val="20"/>
                <w:lang w:val="es-ES_tradnl"/>
              </w:rPr>
              <w:t>Circunstancias de atenuación punitiva</w:t>
            </w:r>
            <w:r w:rsidRPr="00F2567A">
              <w:rPr>
                <w:rFonts w:ascii="Arial" w:eastAsia="Calibri" w:hAnsi="Arial" w:cs="Arial"/>
                <w:i/>
                <w:iCs/>
                <w:sz w:val="20"/>
                <w:szCs w:val="20"/>
                <w:lang w:val="es-ES_tradnl"/>
              </w:rPr>
              <w:t>.</w:t>
            </w:r>
            <w:r w:rsidRPr="00F2567A">
              <w:rPr>
                <w:rFonts w:ascii="Arial" w:eastAsia="Calibri" w:hAnsi="Arial" w:cs="Arial"/>
                <w:sz w:val="20"/>
                <w:szCs w:val="20"/>
                <w:lang w:val="es-ES_tradnl"/>
              </w:rPr>
              <w:t> La pena de las conductas punibles previstas en los artículos 239 y 577 será de multa cuando:</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El apoderamiento se cometiere con el fin de hacer uso de la cosa y se restituyere en término no mayor de veinticuatro (24) horas.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Cuando la cosa se restituyere con daño o deterioro grave, la pena solo se reducirá hasta en una tercera parte, sin que pueda ser inferior a uno punto tres (1.3) unidades multa.</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La conducta se cometiere por socio, copropietario, comunero o heredero, o sobre cosa común indivisible o común divisible, </w:t>
            </w:r>
            <w:r w:rsidRPr="00F2567A">
              <w:rPr>
                <w:rFonts w:ascii="Arial" w:eastAsia="Calibri" w:hAnsi="Arial" w:cs="Arial"/>
                <w:sz w:val="20"/>
                <w:szCs w:val="20"/>
                <w:lang w:val="es-ES_tradnl"/>
              </w:rPr>
              <w:lastRenderedPageBreak/>
              <w:t>excediendo su cuota parte. Este inciso no cobija los casos de conductas cometidas por socios de una sociedad legalmente constituida.</w:t>
            </w:r>
          </w:p>
          <w:p w:rsidR="00F2567A" w:rsidRPr="00F2567A" w:rsidRDefault="00F2567A" w:rsidP="00F2567A">
            <w:pPr>
              <w:rPr>
                <w:rFonts w:ascii="Arial" w:eastAsia="Calibri" w:hAnsi="Arial" w:cs="Arial"/>
                <w:b/>
                <w:sz w:val="20"/>
                <w:szCs w:val="20"/>
                <w:lang w:val="es-ES_tradnl"/>
              </w:rPr>
            </w:pP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lastRenderedPageBreak/>
              <w:t xml:space="preserve">Artículo 57. La Ley 599 de 2000 tendrá un nuevo artículo </w:t>
            </w:r>
            <w:r w:rsidRPr="00F2567A">
              <w:rPr>
                <w:rFonts w:ascii="Arial" w:eastAsia="Calibri" w:hAnsi="Arial" w:cs="Arial"/>
                <w:strike/>
                <w:sz w:val="20"/>
                <w:szCs w:val="20"/>
                <w:lang w:val="es-ES_tradnl"/>
              </w:rPr>
              <w:t>579</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578</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bCs/>
                <w:strike/>
                <w:sz w:val="20"/>
                <w:szCs w:val="20"/>
                <w:lang w:val="es-ES_tradnl"/>
              </w:rPr>
              <w:t>579</w:t>
            </w:r>
            <w:r w:rsidRPr="00F2567A">
              <w:rPr>
                <w:rFonts w:ascii="Arial" w:eastAsia="Calibri" w:hAnsi="Arial" w:cs="Arial"/>
                <w:bCs/>
                <w:sz w:val="20"/>
                <w:szCs w:val="20"/>
                <w:lang w:val="es-ES_tradnl"/>
              </w:rPr>
              <w:t xml:space="preserve"> </w:t>
            </w:r>
            <w:r w:rsidRPr="00F2567A">
              <w:rPr>
                <w:rFonts w:ascii="Arial" w:eastAsia="Calibri" w:hAnsi="Arial" w:cs="Arial"/>
                <w:b/>
                <w:bCs/>
                <w:sz w:val="20"/>
                <w:szCs w:val="20"/>
                <w:lang w:val="es-ES_tradnl"/>
              </w:rPr>
              <w:t>578.</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Circunstancias de atenuación punitiva</w:t>
            </w:r>
            <w:r w:rsidRPr="00F2567A">
              <w:rPr>
                <w:rFonts w:ascii="Arial" w:eastAsia="Calibri" w:hAnsi="Arial" w:cs="Arial"/>
                <w:i/>
                <w:iCs/>
                <w:sz w:val="20"/>
                <w:szCs w:val="20"/>
                <w:lang w:val="es-ES_tradnl"/>
              </w:rPr>
              <w:t>.</w:t>
            </w:r>
            <w:r w:rsidRPr="00F2567A">
              <w:rPr>
                <w:rFonts w:ascii="Arial" w:eastAsia="Calibri" w:hAnsi="Arial" w:cs="Arial"/>
                <w:sz w:val="20"/>
                <w:szCs w:val="20"/>
                <w:lang w:val="es-ES_tradnl"/>
              </w:rPr>
              <w:t xml:space="preserve"> La pena de las conductas punibles previstas en los artículos 239 y </w:t>
            </w:r>
            <w:r w:rsidRPr="00F2567A">
              <w:rPr>
                <w:rFonts w:ascii="Arial" w:eastAsia="Calibri" w:hAnsi="Arial" w:cs="Arial"/>
                <w:strike/>
                <w:sz w:val="20"/>
                <w:szCs w:val="20"/>
                <w:lang w:val="es-ES_tradnl"/>
              </w:rPr>
              <w:t>577</w:t>
            </w:r>
            <w:r w:rsidRPr="00F2567A">
              <w:rPr>
                <w:rFonts w:ascii="Arial" w:eastAsia="Calibri" w:hAnsi="Arial" w:cs="Arial"/>
                <w:b/>
                <w:sz w:val="20"/>
                <w:szCs w:val="20"/>
                <w:lang w:val="es-ES_tradnl"/>
              </w:rPr>
              <w:t xml:space="preserve"> 576</w:t>
            </w:r>
            <w:r w:rsidRPr="00F2567A">
              <w:rPr>
                <w:rFonts w:ascii="Arial" w:eastAsia="Calibri" w:hAnsi="Arial" w:cs="Arial"/>
                <w:sz w:val="20"/>
                <w:szCs w:val="20"/>
                <w:lang w:val="es-ES_tradnl"/>
              </w:rPr>
              <w:t xml:space="preserve"> será de multa cuando:</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El apoderamiento se cometiere con el fin de hacer uso de la cosa y se restituyere en término no mayor de veinticuatro (24) horas.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Cuando la cosa se restituyere con daño o deterioro grave, la pena solo se reducirá hasta en una tercera parte, sin que pueda ser inferior a uno punto tres (1.3) unidades multa.</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La conducta se cometiere por socio, copropietario, comunero o heredero, o sobre cosa común indivisible o común divisible, </w:t>
            </w:r>
            <w:r w:rsidRPr="00F2567A">
              <w:rPr>
                <w:rFonts w:ascii="Arial" w:eastAsia="Calibri" w:hAnsi="Arial" w:cs="Arial"/>
                <w:sz w:val="20"/>
                <w:szCs w:val="20"/>
                <w:lang w:val="es-ES_tradnl"/>
              </w:rPr>
              <w:lastRenderedPageBreak/>
              <w:t>excediendo su cuota parte. Este inciso no cobija los casos de conductas cometidas por socios de una sociedad legalmente constituida.</w:t>
            </w:r>
          </w:p>
        </w:tc>
        <w:tc>
          <w:tcPr>
            <w:tcW w:w="1243" w:type="pct"/>
          </w:tcPr>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lastRenderedPageBreak/>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lastRenderedPageBreak/>
              <w:t>Artículo 91. La Ley 599 de 2000 tendrá un nuevo artículo 609,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609. </w:t>
            </w:r>
            <w:r w:rsidRPr="00F2567A">
              <w:rPr>
                <w:rFonts w:ascii="Arial" w:eastAsia="Calibri" w:hAnsi="Arial" w:cs="Arial"/>
                <w:bCs/>
                <w:i/>
                <w:iCs/>
                <w:sz w:val="20"/>
                <w:szCs w:val="20"/>
                <w:lang w:val="es-ES_tradnl"/>
              </w:rPr>
              <w:t>Abuso contravencional de autoridad por omisión de denuncia</w:t>
            </w:r>
            <w:r w:rsidRPr="00F2567A">
              <w:rPr>
                <w:rFonts w:ascii="Arial" w:eastAsia="Calibri" w:hAnsi="Arial" w:cs="Arial"/>
                <w:sz w:val="20"/>
                <w:szCs w:val="20"/>
                <w:lang w:val="es-ES_tradnl"/>
              </w:rPr>
              <w:t>. El servidor público que teniendo conocimiento de la comisión de una conducta punible cuya averiguación deba adelantarse de oficio, no dé cuenta a la autoridad, incurrirá en multa y pérdida del empleo o cargo público.</w:t>
            </w:r>
          </w:p>
          <w:p w:rsidR="00F2567A" w:rsidRPr="00F2567A" w:rsidRDefault="00F2567A" w:rsidP="00F2567A">
            <w:pPr>
              <w:rPr>
                <w:rFonts w:ascii="Arial" w:eastAsia="Calibri" w:hAnsi="Arial" w:cs="Arial"/>
                <w:b/>
                <w:sz w:val="20"/>
                <w:szCs w:val="20"/>
                <w:lang w:val="es-ES_tradnl"/>
              </w:rPr>
            </w:pP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Artículo 91. La Ley 599 de 2000 tendrá un nuevo artículo </w:t>
            </w:r>
            <w:r w:rsidRPr="00F2567A">
              <w:rPr>
                <w:rFonts w:ascii="Arial" w:eastAsia="Calibri" w:hAnsi="Arial" w:cs="Arial"/>
                <w:strike/>
                <w:sz w:val="20"/>
                <w:szCs w:val="20"/>
                <w:lang w:val="es-ES_tradnl"/>
              </w:rPr>
              <w:t>609</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608</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bCs/>
                <w:strike/>
                <w:sz w:val="20"/>
                <w:szCs w:val="20"/>
                <w:lang w:val="es-ES_tradnl"/>
              </w:rPr>
              <w:t>609</w:t>
            </w:r>
            <w:r w:rsidRPr="00F2567A">
              <w:rPr>
                <w:rFonts w:ascii="Arial" w:eastAsia="Calibri" w:hAnsi="Arial" w:cs="Arial"/>
                <w:bCs/>
                <w:sz w:val="20"/>
                <w:szCs w:val="20"/>
                <w:lang w:val="es-ES_tradnl"/>
              </w:rPr>
              <w:t xml:space="preserve"> </w:t>
            </w:r>
            <w:r w:rsidRPr="00F2567A">
              <w:rPr>
                <w:rFonts w:ascii="Arial" w:eastAsia="Calibri" w:hAnsi="Arial" w:cs="Arial"/>
                <w:b/>
                <w:bCs/>
                <w:sz w:val="20"/>
                <w:szCs w:val="20"/>
                <w:lang w:val="es-ES_tradnl"/>
              </w:rPr>
              <w:t>608.</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Abuso contravencional de autoridad por omisión de denuncia</w:t>
            </w:r>
            <w:r w:rsidRPr="00F2567A">
              <w:rPr>
                <w:rFonts w:ascii="Arial" w:eastAsia="Calibri" w:hAnsi="Arial" w:cs="Arial"/>
                <w:sz w:val="20"/>
                <w:szCs w:val="20"/>
                <w:lang w:val="es-ES_tradnl"/>
              </w:rPr>
              <w:t>. El servidor público que teniendo conocimiento de la comisión de una conducta punible cuya averiguación deba adelantarse de oficio, no dé cuenta a la autoridad, incurrirá en multa y pérdida del empleo o cargo público.</w:t>
            </w:r>
          </w:p>
          <w:p w:rsidR="00F2567A" w:rsidRPr="00F2567A" w:rsidRDefault="00F2567A" w:rsidP="00F2567A">
            <w:pPr>
              <w:rPr>
                <w:rFonts w:ascii="Arial" w:eastAsia="Calibri" w:hAnsi="Arial" w:cs="Arial"/>
                <w:b/>
                <w:sz w:val="20"/>
                <w:szCs w:val="20"/>
                <w:lang w:val="es-ES_tradnl"/>
              </w:rPr>
            </w:pPr>
          </w:p>
        </w:tc>
        <w:tc>
          <w:tcPr>
            <w:tcW w:w="1243" w:type="pct"/>
          </w:tcPr>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Artículo 92. La Ley 599 de 2000 tendrá un nuevo artículo 610,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610. </w:t>
            </w:r>
            <w:r w:rsidRPr="00F2567A">
              <w:rPr>
                <w:rFonts w:ascii="Arial" w:eastAsia="Calibri" w:hAnsi="Arial" w:cs="Arial"/>
                <w:bCs/>
                <w:i/>
                <w:iCs/>
                <w:sz w:val="20"/>
                <w:szCs w:val="20"/>
                <w:lang w:val="es-ES_tradnl"/>
              </w:rPr>
              <w:t>Revelación contravencional de secreto</w:t>
            </w:r>
            <w:r w:rsidRPr="00F2567A">
              <w:rPr>
                <w:rFonts w:ascii="Arial" w:eastAsia="Calibri" w:hAnsi="Arial" w:cs="Arial"/>
                <w:i/>
                <w:iCs/>
                <w:sz w:val="20"/>
                <w:szCs w:val="20"/>
                <w:lang w:val="es-ES_tradnl"/>
              </w:rPr>
              <w:t>.</w:t>
            </w:r>
            <w:r w:rsidRPr="00F2567A">
              <w:rPr>
                <w:rFonts w:ascii="Arial" w:eastAsia="Calibri" w:hAnsi="Arial" w:cs="Arial"/>
                <w:sz w:val="20"/>
                <w:szCs w:val="20"/>
                <w:lang w:val="es-ES_tradnl"/>
              </w:rPr>
              <w:t> El servidor público que indebidamente dé a conocer documento o noticia que deba mantener en secreto o reserva, incurrirá en multa y pérdida del empleo o cargo público.</w:t>
            </w:r>
          </w:p>
          <w:p w:rsidR="00F2567A" w:rsidRPr="00F2567A" w:rsidRDefault="00F2567A" w:rsidP="00F2567A">
            <w:pPr>
              <w:rPr>
                <w:rFonts w:ascii="Arial" w:eastAsia="Calibri" w:hAnsi="Arial" w:cs="Arial"/>
                <w:b/>
                <w:sz w:val="20"/>
                <w:szCs w:val="20"/>
                <w:lang w:val="es-ES_tradnl"/>
              </w:rPr>
            </w:pP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Artículo 92. La Ley 599 de 2000 tendrá un nuevo artículo </w:t>
            </w:r>
            <w:r w:rsidRPr="00F2567A">
              <w:rPr>
                <w:rFonts w:ascii="Arial" w:eastAsia="Calibri" w:hAnsi="Arial" w:cs="Arial"/>
                <w:strike/>
                <w:sz w:val="20"/>
                <w:szCs w:val="20"/>
                <w:lang w:val="es-ES_tradnl"/>
              </w:rPr>
              <w:t>610</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609</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bCs/>
                <w:strike/>
                <w:sz w:val="20"/>
                <w:szCs w:val="20"/>
                <w:lang w:val="es-ES_tradnl"/>
              </w:rPr>
              <w:t>610</w:t>
            </w:r>
            <w:r w:rsidRPr="00F2567A">
              <w:rPr>
                <w:rFonts w:ascii="Arial" w:eastAsia="Calibri" w:hAnsi="Arial" w:cs="Arial"/>
                <w:bCs/>
                <w:sz w:val="20"/>
                <w:szCs w:val="20"/>
                <w:lang w:val="es-ES_tradnl"/>
              </w:rPr>
              <w:t xml:space="preserve"> </w:t>
            </w:r>
            <w:r w:rsidRPr="00F2567A">
              <w:rPr>
                <w:rFonts w:ascii="Arial" w:eastAsia="Calibri" w:hAnsi="Arial" w:cs="Arial"/>
                <w:b/>
                <w:bCs/>
                <w:sz w:val="20"/>
                <w:szCs w:val="20"/>
                <w:lang w:val="es-ES_tradnl"/>
              </w:rPr>
              <w:t>609.</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Revelación contravencional de secreto</w:t>
            </w:r>
            <w:r w:rsidRPr="00F2567A">
              <w:rPr>
                <w:rFonts w:ascii="Arial" w:eastAsia="Calibri" w:hAnsi="Arial" w:cs="Arial"/>
                <w:i/>
                <w:iCs/>
                <w:sz w:val="20"/>
                <w:szCs w:val="20"/>
                <w:lang w:val="es-ES_tradnl"/>
              </w:rPr>
              <w:t>.</w:t>
            </w:r>
            <w:r w:rsidRPr="00F2567A">
              <w:rPr>
                <w:rFonts w:ascii="Arial" w:eastAsia="Calibri" w:hAnsi="Arial" w:cs="Arial"/>
                <w:sz w:val="20"/>
                <w:szCs w:val="20"/>
                <w:lang w:val="es-ES_tradnl"/>
              </w:rPr>
              <w:t> El servidor público que indebidamente dé a conocer documento o noticia que deba mantener en secreto o reserva, incurrirá en multa y pérdida del empleo o cargo público.</w:t>
            </w:r>
          </w:p>
          <w:p w:rsidR="00F2567A" w:rsidRPr="00F2567A" w:rsidRDefault="00F2567A" w:rsidP="00F2567A">
            <w:pPr>
              <w:rPr>
                <w:rFonts w:ascii="Arial" w:eastAsia="Calibri" w:hAnsi="Arial" w:cs="Arial"/>
                <w:b/>
                <w:sz w:val="20"/>
                <w:szCs w:val="20"/>
                <w:lang w:val="es-ES_tradnl"/>
              </w:rPr>
            </w:pPr>
          </w:p>
        </w:tc>
        <w:tc>
          <w:tcPr>
            <w:tcW w:w="1243" w:type="pct"/>
          </w:tcPr>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Artículo 95. La Ley 599 de 2000 tendrá un nuevo artículo 613,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613. </w:t>
            </w:r>
            <w:r w:rsidRPr="00F2567A">
              <w:rPr>
                <w:rFonts w:ascii="Arial" w:eastAsia="Calibri" w:hAnsi="Arial" w:cs="Arial"/>
                <w:bCs/>
                <w:i/>
                <w:iCs/>
                <w:sz w:val="20"/>
                <w:szCs w:val="20"/>
                <w:lang w:val="es-ES_tradnl"/>
              </w:rPr>
              <w:t>Asesoramiento contravencional y otras actuaciones ilegales</w:t>
            </w:r>
            <w:r w:rsidRPr="00F2567A">
              <w:rPr>
                <w:rFonts w:ascii="Arial" w:eastAsia="Calibri" w:hAnsi="Arial" w:cs="Arial"/>
                <w:sz w:val="20"/>
                <w:szCs w:val="20"/>
                <w:lang w:val="es-ES_tradnl"/>
              </w:rPr>
              <w:t>. El servidor público que ilegalmente represente, litigue, gestione o asesore en asunto judicial, administrativo o policivo, incurrirá en multa y pérdida del empleo o cargo público.</w:t>
            </w:r>
          </w:p>
          <w:p w:rsidR="00F2567A" w:rsidRPr="00F2567A" w:rsidRDefault="00F2567A" w:rsidP="00F2567A">
            <w:pPr>
              <w:rPr>
                <w:rFonts w:ascii="Arial" w:eastAsia="Calibri" w:hAnsi="Arial" w:cs="Arial"/>
                <w:b/>
                <w:sz w:val="20"/>
                <w:szCs w:val="20"/>
                <w:lang w:val="es-ES_tradnl"/>
              </w:rPr>
            </w:pP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Artículo 95. La Ley 599 de 2000 tendrá un nuevo artículo </w:t>
            </w:r>
            <w:r w:rsidRPr="00F2567A">
              <w:rPr>
                <w:rFonts w:ascii="Arial" w:eastAsia="Calibri" w:hAnsi="Arial" w:cs="Arial"/>
                <w:strike/>
                <w:sz w:val="20"/>
                <w:szCs w:val="20"/>
                <w:lang w:val="es-ES_tradnl"/>
              </w:rPr>
              <w:t>613</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612</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strike/>
                <w:sz w:val="20"/>
                <w:szCs w:val="20"/>
                <w:lang w:val="es-ES_tradnl"/>
              </w:rPr>
              <w:t>613</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612</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Asesoramiento contravencional y otras actuaciones ilegales</w:t>
            </w:r>
            <w:r w:rsidRPr="00F2567A">
              <w:rPr>
                <w:rFonts w:ascii="Arial" w:eastAsia="Calibri" w:hAnsi="Arial" w:cs="Arial"/>
                <w:sz w:val="20"/>
                <w:szCs w:val="20"/>
                <w:lang w:val="es-ES_tradnl"/>
              </w:rPr>
              <w:t>. El servidor público que ilegalmente represente, litigue, gestione o asesore en asunto judicial, administrativo o policivo, incurrirá en multa y pérdida del empleo o cargo público.</w:t>
            </w:r>
          </w:p>
          <w:p w:rsidR="00F2567A" w:rsidRPr="00F2567A" w:rsidRDefault="00F2567A" w:rsidP="00F2567A">
            <w:pPr>
              <w:rPr>
                <w:rFonts w:ascii="Arial" w:eastAsia="Calibri" w:hAnsi="Arial" w:cs="Arial"/>
                <w:b/>
                <w:sz w:val="20"/>
                <w:szCs w:val="20"/>
                <w:lang w:val="es-ES_tradnl"/>
              </w:rPr>
            </w:pPr>
          </w:p>
        </w:tc>
        <w:tc>
          <w:tcPr>
            <w:tcW w:w="1243" w:type="pct"/>
          </w:tcPr>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rPr>
            </w:pPr>
            <w:r w:rsidRPr="00F2567A">
              <w:rPr>
                <w:rFonts w:ascii="Arial" w:eastAsia="Calibri" w:hAnsi="Arial" w:cs="Arial"/>
                <w:bCs/>
                <w:sz w:val="20"/>
                <w:szCs w:val="20"/>
                <w:lang w:val="es-ES_tradnl"/>
              </w:rPr>
              <w:t>Artículo 101.</w:t>
            </w:r>
            <w:r w:rsidRPr="00F2567A">
              <w:rPr>
                <w:rFonts w:ascii="Arial" w:eastAsia="Calibri" w:hAnsi="Arial" w:cs="Arial"/>
                <w:sz w:val="20"/>
                <w:szCs w:val="20"/>
                <w:lang w:val="es-ES_tradnl"/>
              </w:rPr>
              <w:t> La Ley 599 de 2000 tendrá un nuevo artículo 618, así:</w:t>
            </w:r>
          </w:p>
          <w:p w:rsidR="00F2567A" w:rsidRPr="00F2567A" w:rsidRDefault="00F2567A" w:rsidP="00F2567A">
            <w:pPr>
              <w:rPr>
                <w:rFonts w:ascii="Arial" w:eastAsia="Calibri" w:hAnsi="Arial" w:cs="Arial"/>
                <w:b/>
                <w:bCs/>
                <w:sz w:val="20"/>
                <w:szCs w:val="20"/>
                <w:lang w:val="es-ES_tradnl"/>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618. Reducción cualitativa de pena en caso de contravención no penal</w:t>
            </w:r>
            <w:r w:rsidRPr="00F2567A">
              <w:rPr>
                <w:rFonts w:ascii="Arial" w:eastAsia="Calibri" w:hAnsi="Arial" w:cs="Arial"/>
                <w:sz w:val="20"/>
                <w:szCs w:val="20"/>
                <w:lang w:val="es-ES_tradnl"/>
              </w:rPr>
              <w:t xml:space="preserve">. Si se tratara de una contravención no penal, la pena señalada en los artículos 435, 436 </w:t>
            </w:r>
            <w:r w:rsidRPr="00F2567A">
              <w:rPr>
                <w:rFonts w:ascii="Arial" w:eastAsia="Calibri" w:hAnsi="Arial" w:cs="Arial"/>
                <w:sz w:val="20"/>
                <w:szCs w:val="20"/>
                <w:lang w:val="es-ES_tradnl"/>
              </w:rPr>
              <w:lastRenderedPageBreak/>
              <w:t>y 617 de este código será de multa, que ningún caso podrá ser inferior a una unidad.</w:t>
            </w:r>
          </w:p>
          <w:p w:rsidR="00F2567A" w:rsidRPr="00F2567A" w:rsidRDefault="00F2567A" w:rsidP="00F2567A">
            <w:pPr>
              <w:rPr>
                <w:rFonts w:ascii="Arial" w:eastAsia="Calibri" w:hAnsi="Arial" w:cs="Arial"/>
                <w:b/>
                <w:sz w:val="20"/>
                <w:szCs w:val="20"/>
                <w:lang w:val="es-ES_tradnl"/>
              </w:rPr>
            </w:pPr>
          </w:p>
        </w:tc>
        <w:tc>
          <w:tcPr>
            <w:tcW w:w="1913" w:type="pct"/>
          </w:tcPr>
          <w:p w:rsidR="00F2567A" w:rsidRPr="00F2567A" w:rsidRDefault="00F2567A" w:rsidP="00F2567A">
            <w:pPr>
              <w:rPr>
                <w:rFonts w:ascii="Arial" w:eastAsia="Calibri" w:hAnsi="Arial" w:cs="Arial"/>
                <w:sz w:val="20"/>
                <w:szCs w:val="20"/>
              </w:rPr>
            </w:pPr>
            <w:r w:rsidRPr="00F2567A">
              <w:rPr>
                <w:rFonts w:ascii="Arial" w:eastAsia="Calibri" w:hAnsi="Arial" w:cs="Arial"/>
                <w:bCs/>
                <w:sz w:val="20"/>
                <w:szCs w:val="20"/>
                <w:lang w:val="es-ES_tradnl"/>
              </w:rPr>
              <w:lastRenderedPageBreak/>
              <w:t>Artículo 101.</w:t>
            </w:r>
            <w:r w:rsidRPr="00F2567A">
              <w:rPr>
                <w:rFonts w:ascii="Arial" w:eastAsia="Calibri" w:hAnsi="Arial" w:cs="Arial"/>
                <w:sz w:val="20"/>
                <w:szCs w:val="20"/>
                <w:lang w:val="es-ES_tradnl"/>
              </w:rPr>
              <w:t xml:space="preserve"> La Ley 599 de 2000 tendrá un nuevo artículo </w:t>
            </w:r>
            <w:r w:rsidRPr="00F2567A">
              <w:rPr>
                <w:rFonts w:ascii="Arial" w:eastAsia="Calibri" w:hAnsi="Arial" w:cs="Arial"/>
                <w:strike/>
                <w:sz w:val="20"/>
                <w:szCs w:val="20"/>
                <w:lang w:val="es-ES_tradnl"/>
              </w:rPr>
              <w:t>618</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617</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b/>
                <w:bCs/>
                <w:sz w:val="20"/>
                <w:szCs w:val="20"/>
                <w:lang w:val="es-ES_tradnl"/>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strike/>
                <w:sz w:val="20"/>
                <w:szCs w:val="20"/>
                <w:lang w:val="es-ES_tradnl"/>
              </w:rPr>
              <w:t>618</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617</w:t>
            </w:r>
            <w:r w:rsidRPr="00F2567A">
              <w:rPr>
                <w:rFonts w:ascii="Arial" w:eastAsia="Calibri" w:hAnsi="Arial" w:cs="Arial"/>
                <w:bCs/>
                <w:sz w:val="20"/>
                <w:szCs w:val="20"/>
                <w:lang w:val="es-ES_tradnl"/>
              </w:rPr>
              <w:t>. Reducción cualitativa de pena en caso de contravención no penal</w:t>
            </w:r>
            <w:r w:rsidRPr="00F2567A">
              <w:rPr>
                <w:rFonts w:ascii="Arial" w:eastAsia="Calibri" w:hAnsi="Arial" w:cs="Arial"/>
                <w:sz w:val="20"/>
                <w:szCs w:val="20"/>
                <w:lang w:val="es-ES_tradnl"/>
              </w:rPr>
              <w:t xml:space="preserve">. Si se tratara de una contravención no </w:t>
            </w:r>
            <w:r w:rsidRPr="00F2567A">
              <w:rPr>
                <w:rFonts w:ascii="Arial" w:eastAsia="Calibri" w:hAnsi="Arial" w:cs="Arial"/>
                <w:sz w:val="20"/>
                <w:szCs w:val="20"/>
                <w:lang w:val="es-ES_tradnl"/>
              </w:rPr>
              <w:lastRenderedPageBreak/>
              <w:t xml:space="preserve">penal, la pena señalada en los artículos 435, 436 y </w:t>
            </w:r>
            <w:r w:rsidRPr="00F2567A">
              <w:rPr>
                <w:rFonts w:ascii="Arial" w:eastAsia="Calibri" w:hAnsi="Arial" w:cs="Arial"/>
                <w:strike/>
                <w:sz w:val="20"/>
                <w:szCs w:val="20"/>
                <w:lang w:val="es-ES_tradnl"/>
              </w:rPr>
              <w:t>617</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616</w:t>
            </w:r>
            <w:r w:rsidRPr="00F2567A">
              <w:rPr>
                <w:rFonts w:ascii="Arial" w:eastAsia="Calibri" w:hAnsi="Arial" w:cs="Arial"/>
                <w:sz w:val="20"/>
                <w:szCs w:val="20"/>
                <w:lang w:val="es-ES_tradnl"/>
              </w:rPr>
              <w:t xml:space="preserve"> de este código será de multa, que ningún caso podrá ser inferior a una unidad.</w:t>
            </w:r>
          </w:p>
          <w:p w:rsidR="00F2567A" w:rsidRPr="00F2567A" w:rsidRDefault="00F2567A" w:rsidP="00F2567A">
            <w:pPr>
              <w:rPr>
                <w:rFonts w:ascii="Arial" w:eastAsia="Calibri" w:hAnsi="Arial" w:cs="Arial"/>
                <w:b/>
                <w:sz w:val="20"/>
                <w:szCs w:val="20"/>
                <w:lang w:val="es-ES_tradnl"/>
              </w:rPr>
            </w:pPr>
          </w:p>
        </w:tc>
        <w:tc>
          <w:tcPr>
            <w:tcW w:w="1243" w:type="pct"/>
          </w:tcPr>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lastRenderedPageBreak/>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lastRenderedPageBreak/>
              <w:t>Artículo 33. La Ley 599 de 2000 tendrá un nuevo artículo 560,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Artículo 560. </w:t>
            </w:r>
            <w:r w:rsidRPr="00F2567A">
              <w:rPr>
                <w:rFonts w:ascii="Arial" w:eastAsia="Calibri" w:hAnsi="Arial" w:cs="Arial"/>
                <w:bCs/>
                <w:i/>
                <w:iCs/>
                <w:sz w:val="20"/>
                <w:szCs w:val="20"/>
                <w:lang w:val="es-ES_tradnl"/>
              </w:rPr>
              <w:t>Violación de los derechos de reunión y asociación.</w:t>
            </w:r>
            <w:r w:rsidRPr="00F2567A">
              <w:rPr>
                <w:rFonts w:ascii="Arial" w:eastAsia="Calibri" w:hAnsi="Arial" w:cs="Arial"/>
                <w:b/>
                <w:bCs/>
                <w:sz w:val="20"/>
                <w:szCs w:val="20"/>
                <w:lang w:val="es-ES_tradnl"/>
              </w:rPr>
              <w:t> </w:t>
            </w:r>
            <w:r w:rsidRPr="00F2567A">
              <w:rPr>
                <w:rFonts w:ascii="Arial" w:eastAsia="Calibri" w:hAnsi="Arial" w:cs="Arial"/>
                <w:sz w:val="20"/>
                <w:szCs w:val="20"/>
                <w:lang w:val="es-ES_tradnl"/>
              </w:rPr>
              <w:t>El que impida o perturbe una reunión lícita o ejercicio de los derechos que conceden las leyes laborales o tome represalias con motivo de huelga, reunión o asociación legítimas, incurrirá en pena de prisión de uno (1) a dos (2) años y multa de cien (100) a trescientos (300) salarios mínimos legales mensuales vigentes.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lang w:val="es-ES_tradnl"/>
              </w:rPr>
              <w:t>En la misma pena incurrirá el que celebre pactos colectivos en los que, en su conjunto, se otorguen mejores condiciones a los trabajadores no sindicalizados, respecto de aquellas condiciones convenidas en convenciones colectivas con los trabajadores sindicalizados de una misma empresa.</w:t>
            </w: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La pena de prisión será de tres (3) a cinco (5) años y multa de trescientos (300) a quinientos (500) salarios mínimos legales mensuales vigentes si la conducta descrita en el inciso primero se cometiere:</w:t>
            </w:r>
          </w:p>
          <w:p w:rsidR="00F2567A" w:rsidRPr="00F2567A" w:rsidRDefault="00F2567A" w:rsidP="00F2567A">
            <w:pPr>
              <w:rPr>
                <w:rFonts w:ascii="Arial" w:eastAsia="Calibri" w:hAnsi="Arial" w:cs="Arial"/>
                <w:sz w:val="20"/>
                <w:szCs w:val="20"/>
              </w:rPr>
            </w:pPr>
          </w:p>
          <w:p w:rsidR="00F2567A" w:rsidRPr="00F2567A" w:rsidRDefault="00F2567A" w:rsidP="00F2567A">
            <w:pPr>
              <w:numPr>
                <w:ilvl w:val="0"/>
                <w:numId w:val="30"/>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t>Colocando al empleado en situación de indefensión o que ponga en peligro su integridad personal.</w:t>
            </w:r>
          </w:p>
          <w:p w:rsidR="00F2567A" w:rsidRPr="00F2567A" w:rsidRDefault="00F2567A" w:rsidP="00F2567A">
            <w:pPr>
              <w:ind w:left="720"/>
              <w:contextualSpacing/>
              <w:rPr>
                <w:rFonts w:ascii="Arial" w:eastAsia="Calibri" w:hAnsi="Arial" w:cs="Arial"/>
                <w:sz w:val="20"/>
                <w:szCs w:val="20"/>
              </w:rPr>
            </w:pPr>
          </w:p>
          <w:p w:rsidR="00F2567A" w:rsidRPr="00F2567A" w:rsidRDefault="00F2567A" w:rsidP="00F2567A">
            <w:pPr>
              <w:numPr>
                <w:ilvl w:val="0"/>
                <w:numId w:val="30"/>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t>La conducta se cometa en persona discapacitada, que padezca enfermedad grave o sobre mujer embarazada.</w:t>
            </w:r>
          </w:p>
          <w:p w:rsidR="00F2567A" w:rsidRPr="00F2567A" w:rsidRDefault="00F2567A" w:rsidP="00F2567A">
            <w:pPr>
              <w:rPr>
                <w:rFonts w:ascii="Arial" w:eastAsia="Calibri" w:hAnsi="Arial" w:cs="Arial"/>
                <w:sz w:val="20"/>
                <w:szCs w:val="20"/>
              </w:rPr>
            </w:pPr>
          </w:p>
          <w:p w:rsidR="00F2567A" w:rsidRPr="00F2567A" w:rsidRDefault="00F2567A" w:rsidP="00F2567A">
            <w:pPr>
              <w:numPr>
                <w:ilvl w:val="0"/>
                <w:numId w:val="30"/>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lastRenderedPageBreak/>
              <w:t>Mediante la amenaza de causar la muerte, lesiones personales, daño en bien ajeno o al trabajador o a sus ascendientes, descendientes, cónyuge, compañero o compañera permanente, hermano, adoptante o adoptivo o pariente hasta el segundo grado de afinidad.</w:t>
            </w:r>
          </w:p>
          <w:p w:rsidR="00F2567A" w:rsidRPr="00F2567A" w:rsidRDefault="00F2567A" w:rsidP="00F2567A">
            <w:pPr>
              <w:rPr>
                <w:rFonts w:ascii="Arial" w:eastAsia="Calibri" w:hAnsi="Arial" w:cs="Arial"/>
                <w:sz w:val="20"/>
                <w:szCs w:val="20"/>
              </w:rPr>
            </w:pPr>
          </w:p>
          <w:p w:rsidR="00F2567A" w:rsidRPr="00F2567A" w:rsidRDefault="00F2567A" w:rsidP="00F2567A">
            <w:pPr>
              <w:numPr>
                <w:ilvl w:val="0"/>
                <w:numId w:val="30"/>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t>Mediante engaño sobre el trabajador.</w:t>
            </w: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lastRenderedPageBreak/>
              <w:t xml:space="preserve">Artículo 33. La Ley 599 de 2000 tendrá un nuevo artículo </w:t>
            </w:r>
            <w:r w:rsidRPr="00F2567A">
              <w:rPr>
                <w:rFonts w:ascii="Arial" w:eastAsia="Calibri" w:hAnsi="Arial" w:cs="Arial"/>
                <w:strike/>
                <w:sz w:val="20"/>
                <w:szCs w:val="20"/>
                <w:lang w:val="es-ES_tradnl"/>
              </w:rPr>
              <w:t>560</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559-A</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bCs/>
                <w:strike/>
                <w:sz w:val="20"/>
                <w:szCs w:val="20"/>
                <w:lang w:val="es-ES_tradnl"/>
              </w:rPr>
              <w:t>560</w:t>
            </w:r>
            <w:r w:rsidRPr="00F2567A">
              <w:rPr>
                <w:rFonts w:ascii="Arial" w:eastAsia="Calibri" w:hAnsi="Arial" w:cs="Arial"/>
                <w:bCs/>
                <w:sz w:val="20"/>
                <w:szCs w:val="20"/>
                <w:lang w:val="es-ES_tradnl"/>
              </w:rPr>
              <w:t xml:space="preserve"> </w:t>
            </w:r>
            <w:r w:rsidRPr="00F2567A">
              <w:rPr>
                <w:rFonts w:ascii="Arial" w:eastAsia="Calibri" w:hAnsi="Arial" w:cs="Arial"/>
                <w:b/>
                <w:bCs/>
                <w:sz w:val="20"/>
                <w:szCs w:val="20"/>
                <w:lang w:val="es-ES_tradnl"/>
              </w:rPr>
              <w:t>559-A.</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Violación de los derechos de reunión y asociación.</w:t>
            </w:r>
            <w:r w:rsidRPr="00F2567A">
              <w:rPr>
                <w:rFonts w:ascii="Arial" w:eastAsia="Calibri" w:hAnsi="Arial" w:cs="Arial"/>
                <w:b/>
                <w:bCs/>
                <w:sz w:val="20"/>
                <w:szCs w:val="20"/>
                <w:lang w:val="es-ES_tradnl"/>
              </w:rPr>
              <w:t> </w:t>
            </w:r>
            <w:r w:rsidRPr="00F2567A">
              <w:rPr>
                <w:rFonts w:ascii="Arial" w:eastAsia="Calibri" w:hAnsi="Arial" w:cs="Arial"/>
                <w:sz w:val="20"/>
                <w:szCs w:val="20"/>
                <w:lang w:val="es-ES_tradnl"/>
              </w:rPr>
              <w:t>El que impida o perturbe una reunión lícita o ejercicio de los derechos que conceden las leyes laborales o tome represalias con motivo de huelga, reunión o asociación legítimas, incurrirá en pena de prisión de uno (1) a dos (2) años y multa de cien (100) a trescientos (300) salarios mínimos legales mensuales vigentes.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lang w:val="es-ES_tradnl"/>
              </w:rPr>
              <w:t>En la misma pena incurrirá el que celebre pactos colectivos en los que, en su conjunto, se otorguen mejores condiciones a los trabajadores no sindicalizados, respecto de aquellas condiciones convenidas en convenciones colectivas con los trabajadores sindicalizados de una misma empresa.</w:t>
            </w: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La pena de prisión será de tres (3) a cinco (5) años y multa de trescientos (300) a quinientos (500) salarios mínimos legales mensuales vigentes si la conducta descrita en el inciso primero se cometiere:</w:t>
            </w:r>
          </w:p>
          <w:p w:rsidR="00F2567A" w:rsidRPr="00F2567A" w:rsidRDefault="00F2567A" w:rsidP="00F2567A">
            <w:pPr>
              <w:rPr>
                <w:rFonts w:ascii="Arial" w:eastAsia="Calibri" w:hAnsi="Arial" w:cs="Arial"/>
                <w:sz w:val="20"/>
                <w:szCs w:val="20"/>
              </w:rPr>
            </w:pPr>
          </w:p>
          <w:p w:rsidR="00F2567A" w:rsidRPr="00F2567A" w:rsidRDefault="00F2567A" w:rsidP="00F2567A">
            <w:pPr>
              <w:numPr>
                <w:ilvl w:val="0"/>
                <w:numId w:val="39"/>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t>Colocando al empleado en situación de indefensión o que ponga en peligro su integridad personal.</w:t>
            </w:r>
          </w:p>
          <w:p w:rsidR="00F2567A" w:rsidRPr="00F2567A" w:rsidRDefault="00F2567A" w:rsidP="00F2567A">
            <w:pPr>
              <w:ind w:left="720"/>
              <w:contextualSpacing/>
              <w:rPr>
                <w:rFonts w:ascii="Arial" w:eastAsia="Calibri" w:hAnsi="Arial" w:cs="Arial"/>
                <w:sz w:val="20"/>
                <w:szCs w:val="20"/>
              </w:rPr>
            </w:pPr>
          </w:p>
          <w:p w:rsidR="00F2567A" w:rsidRPr="00F2567A" w:rsidRDefault="00F2567A" w:rsidP="00F2567A">
            <w:pPr>
              <w:numPr>
                <w:ilvl w:val="0"/>
                <w:numId w:val="39"/>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t>La conducta se cometa en persona discapacitada, que padezca enfermedad grave o sobre mujer embarazada.</w:t>
            </w:r>
          </w:p>
          <w:p w:rsidR="00F2567A" w:rsidRPr="00F2567A" w:rsidRDefault="00F2567A" w:rsidP="00F2567A">
            <w:pPr>
              <w:rPr>
                <w:rFonts w:ascii="Arial" w:eastAsia="Calibri" w:hAnsi="Arial" w:cs="Arial"/>
                <w:sz w:val="20"/>
                <w:szCs w:val="20"/>
              </w:rPr>
            </w:pPr>
          </w:p>
          <w:p w:rsidR="00F2567A" w:rsidRPr="00F2567A" w:rsidRDefault="00F2567A" w:rsidP="00F2567A">
            <w:pPr>
              <w:numPr>
                <w:ilvl w:val="0"/>
                <w:numId w:val="39"/>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lastRenderedPageBreak/>
              <w:t>Mediante la amenaza de causar la muerte, lesiones personales, daño en bien ajeno o al trabajador o a sus ascendientes, descendientes, cónyuge, compañero o compañera permanente, hermano, adoptante o adoptivo o pariente hasta el segundo grado de afinidad.</w:t>
            </w:r>
          </w:p>
          <w:p w:rsidR="00F2567A" w:rsidRPr="00F2567A" w:rsidRDefault="00F2567A" w:rsidP="00F2567A">
            <w:pPr>
              <w:rPr>
                <w:rFonts w:ascii="Arial" w:eastAsia="Calibri" w:hAnsi="Arial" w:cs="Arial"/>
                <w:sz w:val="20"/>
                <w:szCs w:val="20"/>
              </w:rPr>
            </w:pPr>
          </w:p>
          <w:p w:rsidR="00F2567A" w:rsidRPr="00F2567A" w:rsidRDefault="00F2567A" w:rsidP="00F2567A">
            <w:pPr>
              <w:numPr>
                <w:ilvl w:val="0"/>
                <w:numId w:val="39"/>
              </w:numPr>
              <w:contextualSpacing/>
              <w:rPr>
                <w:rFonts w:ascii="Arial" w:eastAsia="Calibri" w:hAnsi="Arial" w:cs="Arial"/>
                <w:sz w:val="20"/>
                <w:szCs w:val="20"/>
                <w:lang w:val="es-ES_tradnl"/>
              </w:rPr>
            </w:pPr>
            <w:r w:rsidRPr="00F2567A">
              <w:rPr>
                <w:rFonts w:ascii="Arial" w:eastAsia="Calibri" w:hAnsi="Arial" w:cs="Arial"/>
                <w:sz w:val="20"/>
                <w:szCs w:val="20"/>
                <w:lang w:val="es-ES_tradnl"/>
              </w:rPr>
              <w:t>Mediante engaño sobre el trabajador.</w:t>
            </w:r>
          </w:p>
        </w:tc>
        <w:tc>
          <w:tcPr>
            <w:tcW w:w="1243" w:type="pct"/>
          </w:tcPr>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lastRenderedPageBreak/>
              <w:t>Cambio de numeración del artículo creado en la Ley 599 de 2000, con el fin de mantener la secuencia.</w:t>
            </w:r>
          </w:p>
        </w:tc>
      </w:tr>
      <w:tr w:rsidR="00F2567A" w:rsidRPr="00F2567A" w:rsidTr="00F2567A">
        <w:tc>
          <w:tcPr>
            <w:tcW w:w="1844" w:type="pct"/>
          </w:tcPr>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lastRenderedPageBreak/>
              <w:t>Artículo 67. La Ley 906 de 2004 tendrá un nuevo artículo 589,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 xml:space="preserve">“Artículo 589. </w:t>
            </w:r>
            <w:r w:rsidRPr="00F2567A">
              <w:rPr>
                <w:rFonts w:ascii="Arial" w:eastAsia="Calibri" w:hAnsi="Arial" w:cs="Arial"/>
                <w:i/>
                <w:sz w:val="20"/>
                <w:szCs w:val="20"/>
              </w:rPr>
              <w:t xml:space="preserve">De la prestación, acceso o uso ilegales de los servicios de telecomunicaciones. </w:t>
            </w:r>
            <w:r w:rsidRPr="00F2567A">
              <w:rPr>
                <w:rFonts w:ascii="Arial" w:eastAsia="Calibri" w:hAnsi="Arial" w:cs="Arial"/>
                <w:sz w:val="20"/>
                <w:szCs w:val="20"/>
              </w:rPr>
              <w:t>El que, sin la correspondiente autorización de la autoridad competente, preste, acceda o use servicio de telefonía móvil, con ánimo de lucro, mediante copia o reproducción de señales de identificación de equipos terminales de estos servicios, o sus derivaciones, incurrirá en prisión de cuatro (4) a diez (10) años y en multa de quinientos (500) a mil (1.000) salarios mínimos legales mensuales vigentes.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En las mismas penas incurrirá el que, sin la correspondiente autorización, preste, comercialice, acceda o use el servicio de telefonía pública básica local, local extendida, o de larga distancia, con ánimo de lucro.</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Iguales penas se impondrán a quien, sin la correspondiente autorización, acceda, preste, comercialice, acceda o use red, o cualquiera de los servicios de telecomunicaciones definidos en las normas vigentes.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 xml:space="preserve">Parágrafo 1°. No incurrirán en las conductas tipificadas en el </w:t>
            </w:r>
            <w:r w:rsidRPr="00F2567A">
              <w:rPr>
                <w:rFonts w:ascii="Arial" w:eastAsia="Calibri" w:hAnsi="Arial" w:cs="Arial"/>
                <w:sz w:val="20"/>
                <w:szCs w:val="20"/>
              </w:rPr>
              <w:lastRenderedPageBreak/>
              <w:t>presente artículo quienes en virtud de un contrato con un operador autorizado comercialicen servicios de telecomunicaciones.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Parágrafo 2°. No será punible a efectos del presente artículo la transferencia transitoria, con o sin ánimo de lucro que el titular haga de equipos terminales de servicios de telecomunicaciones, cuyo fin sea el de permitir a un tercero el uso individual del servicio respectivo.</w:t>
            </w:r>
          </w:p>
        </w:tc>
        <w:tc>
          <w:tcPr>
            <w:tcW w:w="1913" w:type="pct"/>
          </w:tcPr>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lastRenderedPageBreak/>
              <w:t xml:space="preserve">Artículo 67. La </w:t>
            </w:r>
            <w:r w:rsidRPr="00F2567A">
              <w:rPr>
                <w:rFonts w:ascii="Arial" w:eastAsia="Calibri" w:hAnsi="Arial" w:cs="Arial"/>
                <w:strike/>
                <w:sz w:val="20"/>
                <w:szCs w:val="20"/>
                <w:lang w:val="es-ES_tradnl"/>
              </w:rPr>
              <w:t>Ley 906 de 2004</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Ley 599 de 2000</w:t>
            </w:r>
            <w:r w:rsidRPr="00F2567A">
              <w:rPr>
                <w:rFonts w:ascii="Arial" w:eastAsia="Calibri" w:hAnsi="Arial" w:cs="Arial"/>
                <w:sz w:val="20"/>
                <w:szCs w:val="20"/>
                <w:lang w:val="es-ES_tradnl"/>
              </w:rPr>
              <w:t xml:space="preserve"> tendrá un nuevo artículo </w:t>
            </w:r>
            <w:r w:rsidRPr="00F2567A">
              <w:rPr>
                <w:rFonts w:ascii="Arial" w:eastAsia="Calibri" w:hAnsi="Arial" w:cs="Arial"/>
                <w:strike/>
                <w:sz w:val="20"/>
                <w:szCs w:val="20"/>
                <w:lang w:val="es-ES_tradnl"/>
              </w:rPr>
              <w:t>589</w:t>
            </w:r>
            <w:r w:rsidRPr="00F2567A">
              <w:rPr>
                <w:rFonts w:ascii="Arial" w:eastAsia="Calibri" w:hAnsi="Arial" w:cs="Arial"/>
                <w:sz w:val="20"/>
                <w:szCs w:val="20"/>
                <w:lang w:val="es-ES_tradnl"/>
              </w:rPr>
              <w:t xml:space="preserve"> </w:t>
            </w:r>
            <w:r w:rsidRPr="00F2567A">
              <w:rPr>
                <w:rFonts w:ascii="Arial" w:eastAsia="Calibri" w:hAnsi="Arial" w:cs="Arial"/>
                <w:b/>
                <w:sz w:val="20"/>
                <w:szCs w:val="20"/>
                <w:lang w:val="es-ES_tradnl"/>
              </w:rPr>
              <w:t>588</w:t>
            </w:r>
            <w:r w:rsidRPr="00F2567A">
              <w:rPr>
                <w:rFonts w:ascii="Arial" w:eastAsia="Calibri" w:hAnsi="Arial" w:cs="Arial"/>
                <w:sz w:val="20"/>
                <w:szCs w:val="20"/>
                <w:lang w:val="es-ES_tradnl"/>
              </w:rPr>
              <w:t>, así:</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bCs/>
                <w:sz w:val="20"/>
                <w:szCs w:val="20"/>
                <w:lang w:val="es-ES_tradnl"/>
              </w:rPr>
              <w:t xml:space="preserve">Artículo </w:t>
            </w:r>
            <w:r w:rsidRPr="00F2567A">
              <w:rPr>
                <w:rFonts w:ascii="Arial" w:eastAsia="Calibri" w:hAnsi="Arial" w:cs="Arial"/>
                <w:bCs/>
                <w:strike/>
                <w:sz w:val="20"/>
                <w:szCs w:val="20"/>
                <w:lang w:val="es-ES_tradnl"/>
              </w:rPr>
              <w:t>589</w:t>
            </w:r>
            <w:r w:rsidRPr="00F2567A">
              <w:rPr>
                <w:rFonts w:ascii="Arial" w:eastAsia="Calibri" w:hAnsi="Arial" w:cs="Arial"/>
                <w:bCs/>
                <w:sz w:val="20"/>
                <w:szCs w:val="20"/>
                <w:lang w:val="es-ES_tradnl"/>
              </w:rPr>
              <w:t xml:space="preserve"> </w:t>
            </w:r>
            <w:r w:rsidRPr="00F2567A">
              <w:rPr>
                <w:rFonts w:ascii="Arial" w:eastAsia="Calibri" w:hAnsi="Arial" w:cs="Arial"/>
                <w:b/>
                <w:bCs/>
                <w:sz w:val="20"/>
                <w:szCs w:val="20"/>
                <w:lang w:val="es-ES_tradnl"/>
              </w:rPr>
              <w:t>588</w:t>
            </w:r>
            <w:r w:rsidRPr="00F2567A">
              <w:rPr>
                <w:rFonts w:ascii="Arial" w:eastAsia="Calibri" w:hAnsi="Arial" w:cs="Arial"/>
                <w:bCs/>
                <w:sz w:val="20"/>
                <w:szCs w:val="20"/>
                <w:lang w:val="es-ES_tradnl"/>
              </w:rPr>
              <w:t>. </w:t>
            </w:r>
            <w:r w:rsidRPr="00F2567A">
              <w:rPr>
                <w:rFonts w:ascii="Arial" w:eastAsia="Calibri" w:hAnsi="Arial" w:cs="Arial"/>
                <w:bCs/>
                <w:i/>
                <w:iCs/>
                <w:sz w:val="20"/>
                <w:szCs w:val="20"/>
                <w:lang w:val="es-ES_tradnl"/>
              </w:rPr>
              <w:t>De la prestación, acceso o uso ilegales de los servicios de telecomunicaciones</w:t>
            </w:r>
            <w:r w:rsidRPr="00F2567A">
              <w:rPr>
                <w:rFonts w:ascii="Arial" w:eastAsia="Calibri" w:hAnsi="Arial" w:cs="Arial"/>
                <w:i/>
                <w:iCs/>
                <w:sz w:val="20"/>
                <w:szCs w:val="20"/>
                <w:lang w:val="es-ES_tradnl"/>
              </w:rPr>
              <w:t>.</w:t>
            </w:r>
            <w:r w:rsidRPr="00F2567A">
              <w:rPr>
                <w:rFonts w:ascii="Arial" w:eastAsia="Calibri" w:hAnsi="Arial" w:cs="Arial"/>
                <w:sz w:val="20"/>
                <w:szCs w:val="20"/>
                <w:lang w:val="es-ES_tradnl"/>
              </w:rPr>
              <w:t> El que, sin la correspondiente autorización de la autoridad competente, preste, acceda o use servicio de telefonía móvil, con ánimo de lucro, mediante copia o reproducción de señales de identificación de equipos terminales de estos servicios, o sus derivaciones, incurrirá en prisión de cuatro (4) a diez (10) años y en multa de quinientos (500) a mil (1.000) salarios mínimos legales mensuales vigentes.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En las mismas penas incurrirá el que, sin la correspondiente autorización, preste, comercialice, acceda o use el servicio de telefonía pública básica local, local extendida, o de larga distancia, con ánimo de lucro.</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Iguales penas se impondrán a quien, sin la correspondiente autorización, acceda, preste, comercialice, </w:t>
            </w:r>
            <w:r w:rsidRPr="00F2567A">
              <w:rPr>
                <w:rFonts w:ascii="Arial" w:eastAsia="Calibri" w:hAnsi="Arial" w:cs="Arial"/>
                <w:strike/>
                <w:sz w:val="20"/>
                <w:szCs w:val="20"/>
                <w:lang w:val="es-ES_tradnl"/>
              </w:rPr>
              <w:t>acceda</w:t>
            </w:r>
            <w:r w:rsidRPr="00F2567A">
              <w:rPr>
                <w:rFonts w:ascii="Arial" w:eastAsia="Calibri" w:hAnsi="Arial" w:cs="Arial"/>
                <w:sz w:val="20"/>
                <w:szCs w:val="20"/>
                <w:lang w:val="es-ES_tradnl"/>
              </w:rPr>
              <w:t xml:space="preserve"> o use red, o cualquiera de los servicios de telecomunicaciones definidos en las normas vigentes.</w:t>
            </w:r>
          </w:p>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lang w:val="es-ES_tradnl"/>
              </w:rPr>
            </w:pPr>
            <w:r w:rsidRPr="00F2567A">
              <w:rPr>
                <w:rFonts w:ascii="Arial" w:eastAsia="Calibri" w:hAnsi="Arial" w:cs="Arial"/>
                <w:sz w:val="20"/>
                <w:szCs w:val="20"/>
                <w:lang w:val="es-ES_tradnl"/>
              </w:rPr>
              <w:t xml:space="preserve">Parágrafo 1°. No incurrirán en las conductas tipificadas en el presente </w:t>
            </w:r>
            <w:r w:rsidRPr="00F2567A">
              <w:rPr>
                <w:rFonts w:ascii="Arial" w:eastAsia="Calibri" w:hAnsi="Arial" w:cs="Arial"/>
                <w:sz w:val="20"/>
                <w:szCs w:val="20"/>
                <w:lang w:val="es-ES_tradnl"/>
              </w:rPr>
              <w:lastRenderedPageBreak/>
              <w:t>artículo quienes en virtud de un contrato con un operador autorizado comercialicen servicios de telecomunicaciones.</w:t>
            </w:r>
          </w:p>
          <w:p w:rsidR="00F2567A" w:rsidRPr="00F2567A" w:rsidRDefault="00F2567A" w:rsidP="00F2567A">
            <w:pPr>
              <w:rPr>
                <w:rFonts w:ascii="Arial" w:eastAsia="Calibri" w:hAnsi="Arial" w:cs="Arial"/>
                <w:sz w:val="20"/>
                <w:szCs w:val="20"/>
                <w:lang w:val="es-ES_tradnl"/>
              </w:rPr>
            </w:pPr>
          </w:p>
          <w:p w:rsidR="00F2567A" w:rsidRPr="00F2567A" w:rsidRDefault="00F2567A" w:rsidP="00F2567A">
            <w:pPr>
              <w:rPr>
                <w:rFonts w:ascii="Arial" w:eastAsia="Calibri" w:hAnsi="Arial" w:cs="Arial"/>
                <w:b/>
                <w:sz w:val="20"/>
                <w:szCs w:val="20"/>
              </w:rPr>
            </w:pPr>
            <w:r w:rsidRPr="00F2567A">
              <w:rPr>
                <w:rFonts w:ascii="Arial" w:eastAsia="Calibri" w:hAnsi="Arial" w:cs="Arial"/>
                <w:sz w:val="20"/>
                <w:szCs w:val="20"/>
              </w:rPr>
              <w:t xml:space="preserve">Parágrafo 2°. No será punible a efectos del presente artículo la transferencia transitoria, con o sin ánimo de lucro que el titular haga de equipos terminales </w:t>
            </w:r>
            <w:r w:rsidRPr="00F2567A">
              <w:rPr>
                <w:rFonts w:ascii="Arial" w:eastAsia="Calibri" w:hAnsi="Arial" w:cs="Arial"/>
                <w:b/>
                <w:sz w:val="20"/>
                <w:szCs w:val="20"/>
              </w:rPr>
              <w:t>móviles</w:t>
            </w:r>
            <w:r w:rsidRPr="00F2567A">
              <w:rPr>
                <w:rFonts w:ascii="Arial" w:eastAsia="Calibri" w:hAnsi="Arial" w:cs="Arial"/>
                <w:sz w:val="20"/>
                <w:szCs w:val="20"/>
              </w:rPr>
              <w:t xml:space="preserve"> </w:t>
            </w:r>
            <w:r w:rsidRPr="00F2567A">
              <w:rPr>
                <w:rFonts w:ascii="Arial" w:eastAsia="Calibri" w:hAnsi="Arial" w:cs="Arial"/>
                <w:strike/>
                <w:sz w:val="20"/>
                <w:szCs w:val="20"/>
              </w:rPr>
              <w:t>de servicios de telecomunicaciones</w:t>
            </w:r>
            <w:r w:rsidRPr="00F2567A">
              <w:rPr>
                <w:rFonts w:ascii="Arial" w:eastAsia="Calibri" w:hAnsi="Arial" w:cs="Arial"/>
                <w:sz w:val="20"/>
                <w:szCs w:val="20"/>
              </w:rPr>
              <w:t>, cuyo fin sea el de permitir a un tercero el uso individual del servicio respectivo.</w:t>
            </w:r>
          </w:p>
        </w:tc>
        <w:tc>
          <w:tcPr>
            <w:tcW w:w="1243" w:type="pct"/>
          </w:tcPr>
          <w:p w:rsidR="00F2567A" w:rsidRPr="00F2567A" w:rsidRDefault="00F2567A" w:rsidP="00F2567A">
            <w:pPr>
              <w:rPr>
                <w:rFonts w:ascii="Arial" w:eastAsia="Calibri" w:hAnsi="Arial" w:cs="Arial"/>
                <w:sz w:val="20"/>
                <w:szCs w:val="20"/>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Cambio de numeración del artículo creado en la Ley 599 de 2000, con el fin de mantener la secuencia.</w:t>
            </w:r>
          </w:p>
          <w:p w:rsidR="00F2567A" w:rsidRPr="00F2567A" w:rsidRDefault="00F2567A" w:rsidP="00F2567A">
            <w:pPr>
              <w:rPr>
                <w:rFonts w:eastAsia="Calibri" w:cs="Times New Roman"/>
              </w:rPr>
            </w:pPr>
          </w:p>
          <w:p w:rsidR="00F2567A" w:rsidRPr="00F2567A" w:rsidRDefault="00F2567A" w:rsidP="00F2567A">
            <w:pPr>
              <w:rPr>
                <w:rFonts w:ascii="Arial" w:eastAsia="Calibri" w:hAnsi="Arial" w:cs="Arial"/>
                <w:sz w:val="20"/>
                <w:szCs w:val="20"/>
              </w:rPr>
            </w:pPr>
            <w:r w:rsidRPr="00F2567A">
              <w:rPr>
                <w:rFonts w:ascii="Arial" w:eastAsia="Calibri" w:hAnsi="Arial" w:cs="Arial"/>
                <w:sz w:val="20"/>
                <w:szCs w:val="20"/>
              </w:rPr>
              <w:t>Adicionalmente, esta modificación busca reemplazar en el parágrafo segundo del art. 589 a crearse en la Ley 906 de 2004, la expresión “</w:t>
            </w:r>
            <w:r w:rsidRPr="00F2567A">
              <w:rPr>
                <w:rFonts w:ascii="Arial" w:eastAsia="Calibri" w:hAnsi="Arial" w:cs="Arial"/>
                <w:i/>
                <w:sz w:val="20"/>
                <w:szCs w:val="20"/>
              </w:rPr>
              <w:t>equipos terminales de servicios de telecomunicaciones</w:t>
            </w:r>
            <w:r w:rsidRPr="00F2567A">
              <w:rPr>
                <w:rFonts w:ascii="Arial" w:eastAsia="Calibri" w:hAnsi="Arial" w:cs="Arial"/>
                <w:sz w:val="20"/>
                <w:szCs w:val="20"/>
              </w:rPr>
              <w:t>” por “</w:t>
            </w:r>
            <w:r w:rsidRPr="00F2567A">
              <w:rPr>
                <w:rFonts w:ascii="Arial" w:eastAsia="Calibri" w:hAnsi="Arial" w:cs="Arial"/>
                <w:i/>
                <w:sz w:val="20"/>
                <w:szCs w:val="20"/>
              </w:rPr>
              <w:t>equipos terminales móviles</w:t>
            </w:r>
            <w:r w:rsidRPr="00F2567A">
              <w:rPr>
                <w:rFonts w:ascii="Arial" w:eastAsia="Calibri" w:hAnsi="Arial" w:cs="Arial"/>
                <w:sz w:val="20"/>
                <w:szCs w:val="20"/>
              </w:rPr>
              <w:t xml:space="preserve">” por corresponder esta al término técnico que describe con mayor nitidez y claridad los equipos objeto de la conducta descrita. </w:t>
            </w:r>
          </w:p>
        </w:tc>
      </w:tr>
    </w:tbl>
    <w:p w:rsidR="004B4C67" w:rsidRDefault="004B4C67" w:rsidP="00B53650">
      <w:pPr>
        <w:spacing w:after="0" w:line="240" w:lineRule="auto"/>
        <w:jc w:val="both"/>
        <w:rPr>
          <w:rFonts w:ascii="Arial" w:hAnsi="Arial" w:cs="Arial"/>
          <w:sz w:val="24"/>
          <w:szCs w:val="24"/>
        </w:rPr>
      </w:pPr>
    </w:p>
    <w:p w:rsidR="005F4214" w:rsidRDefault="005F4214" w:rsidP="00B53650">
      <w:pPr>
        <w:spacing w:after="0" w:line="240" w:lineRule="auto"/>
        <w:jc w:val="both"/>
        <w:rPr>
          <w:rFonts w:ascii="Arial" w:hAnsi="Arial" w:cs="Arial"/>
          <w:sz w:val="24"/>
          <w:szCs w:val="24"/>
        </w:rPr>
      </w:pPr>
    </w:p>
    <w:p w:rsidR="005F4214" w:rsidRDefault="005F4214"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Default="00662223" w:rsidP="00B53650">
      <w:pPr>
        <w:spacing w:after="0" w:line="240" w:lineRule="auto"/>
        <w:jc w:val="both"/>
        <w:rPr>
          <w:rFonts w:ascii="Arial" w:hAnsi="Arial" w:cs="Arial"/>
          <w:sz w:val="24"/>
          <w:szCs w:val="24"/>
        </w:rPr>
      </w:pPr>
    </w:p>
    <w:p w:rsidR="00662223" w:rsidRPr="00EA2E07" w:rsidRDefault="00662223" w:rsidP="00B53650">
      <w:pPr>
        <w:spacing w:after="0" w:line="240" w:lineRule="auto"/>
        <w:jc w:val="both"/>
        <w:rPr>
          <w:rFonts w:ascii="Arial" w:hAnsi="Arial" w:cs="Arial"/>
          <w:sz w:val="24"/>
          <w:szCs w:val="24"/>
        </w:rPr>
      </w:pPr>
    </w:p>
    <w:p w:rsidR="009E69CD" w:rsidRPr="00EA2E07" w:rsidRDefault="009E69CD" w:rsidP="005E61BF">
      <w:pPr>
        <w:spacing w:after="0" w:line="240" w:lineRule="auto"/>
        <w:jc w:val="both"/>
        <w:rPr>
          <w:rFonts w:ascii="Arial" w:hAnsi="Arial" w:cs="Arial"/>
          <w:sz w:val="24"/>
          <w:szCs w:val="24"/>
        </w:rPr>
      </w:pPr>
    </w:p>
    <w:p w:rsidR="009E69CD" w:rsidRPr="00EA2E07" w:rsidRDefault="009E69CD" w:rsidP="005E61BF">
      <w:pPr>
        <w:pStyle w:val="Listavistosa-nfasis11"/>
        <w:pBdr>
          <w:top w:val="single" w:sz="8" w:space="1" w:color="auto"/>
          <w:left w:val="single" w:sz="8" w:space="31" w:color="auto"/>
          <w:bottom w:val="single" w:sz="8" w:space="0" w:color="auto"/>
          <w:right w:val="single" w:sz="8" w:space="0" w:color="auto"/>
        </w:pBdr>
        <w:spacing w:after="0" w:line="240" w:lineRule="auto"/>
        <w:jc w:val="center"/>
        <w:rPr>
          <w:rFonts w:ascii="Arial" w:hAnsi="Arial" w:cs="Arial"/>
          <w:b/>
          <w:lang w:val="es-ES_tradnl"/>
        </w:rPr>
      </w:pPr>
      <w:r w:rsidRPr="00EA2E07">
        <w:rPr>
          <w:rFonts w:ascii="Arial" w:hAnsi="Arial" w:cs="Arial"/>
          <w:b/>
          <w:lang w:val="es-ES_tradnl"/>
        </w:rPr>
        <w:lastRenderedPageBreak/>
        <w:t>PROPOSICIÓN</w:t>
      </w:r>
    </w:p>
    <w:p w:rsidR="009E69CD" w:rsidRDefault="009E69CD" w:rsidP="005E61BF">
      <w:pPr>
        <w:spacing w:after="0" w:line="240" w:lineRule="auto"/>
        <w:ind w:left="720"/>
        <w:jc w:val="both"/>
        <w:rPr>
          <w:rFonts w:ascii="Arial" w:hAnsi="Arial" w:cs="Arial"/>
          <w:sz w:val="24"/>
          <w:szCs w:val="24"/>
        </w:rPr>
      </w:pPr>
    </w:p>
    <w:p w:rsidR="005F4214" w:rsidRDefault="005F4214" w:rsidP="005E61BF">
      <w:pPr>
        <w:spacing w:after="0" w:line="240" w:lineRule="auto"/>
        <w:ind w:left="720"/>
        <w:jc w:val="both"/>
        <w:rPr>
          <w:rFonts w:ascii="Arial" w:hAnsi="Arial" w:cs="Arial"/>
          <w:sz w:val="24"/>
          <w:szCs w:val="24"/>
        </w:rPr>
      </w:pPr>
    </w:p>
    <w:p w:rsidR="00583213" w:rsidRPr="00EA2E07" w:rsidRDefault="009E69CD" w:rsidP="005E61BF">
      <w:pPr>
        <w:pStyle w:val="Listavistosa-nfasis11"/>
        <w:spacing w:after="0" w:line="240" w:lineRule="auto"/>
        <w:ind w:left="0"/>
        <w:jc w:val="both"/>
        <w:rPr>
          <w:rFonts w:ascii="Arial" w:hAnsi="Arial" w:cs="Arial"/>
          <w:lang w:val="es-ES_tradnl"/>
        </w:rPr>
      </w:pPr>
      <w:r w:rsidRPr="00EA2E07">
        <w:rPr>
          <w:rFonts w:ascii="Arial" w:hAnsi="Arial" w:cs="Arial"/>
        </w:rPr>
        <w:t xml:space="preserve">Por las anteriores consideraciones, </w:t>
      </w:r>
      <w:r w:rsidR="00EA2E07">
        <w:rPr>
          <w:rFonts w:ascii="Arial" w:hAnsi="Arial" w:cs="Arial"/>
        </w:rPr>
        <w:t>nos</w:t>
      </w:r>
      <w:r w:rsidRPr="00EA2E07">
        <w:rPr>
          <w:rFonts w:ascii="Arial" w:hAnsi="Arial" w:cs="Arial"/>
        </w:rPr>
        <w:t xml:space="preserve"> pe</w:t>
      </w:r>
      <w:r w:rsidR="00EA2E07">
        <w:rPr>
          <w:rFonts w:ascii="Arial" w:hAnsi="Arial" w:cs="Arial"/>
        </w:rPr>
        <w:t>rmitimos</w:t>
      </w:r>
      <w:r w:rsidR="003330E3" w:rsidRPr="00EA2E07">
        <w:rPr>
          <w:rFonts w:ascii="Arial" w:hAnsi="Arial" w:cs="Arial"/>
        </w:rPr>
        <w:t xml:space="preserve"> solicitar a los miembros </w:t>
      </w:r>
      <w:r w:rsidRPr="00EA2E07">
        <w:rPr>
          <w:rFonts w:ascii="Arial" w:hAnsi="Arial" w:cs="Arial"/>
        </w:rPr>
        <w:t xml:space="preserve">de la </w:t>
      </w:r>
      <w:r w:rsidR="00F64DD8">
        <w:rPr>
          <w:rFonts w:ascii="Arial" w:hAnsi="Arial" w:cs="Arial"/>
        </w:rPr>
        <w:t>Comisión Primera de la Cámara de Representantes del Congreso de la República, dar</w:t>
      </w:r>
      <w:r w:rsidRPr="00EA2E07">
        <w:rPr>
          <w:rFonts w:ascii="Arial" w:hAnsi="Arial" w:cs="Arial"/>
        </w:rPr>
        <w:t xml:space="preserve"> </w:t>
      </w:r>
      <w:r w:rsidR="00A21D77">
        <w:rPr>
          <w:rFonts w:ascii="Arial" w:hAnsi="Arial" w:cs="Arial"/>
        </w:rPr>
        <w:t>primer</w:t>
      </w:r>
      <w:r w:rsidR="00EA2E07">
        <w:rPr>
          <w:rFonts w:ascii="Arial" w:hAnsi="Arial" w:cs="Arial"/>
        </w:rPr>
        <w:t xml:space="preserve"> debate a</w:t>
      </w:r>
      <w:r w:rsidRPr="00EA2E07">
        <w:rPr>
          <w:rFonts w:ascii="Arial" w:hAnsi="Arial" w:cs="Arial"/>
        </w:rPr>
        <w:t>l Proyecto de ley No.</w:t>
      </w:r>
      <w:r w:rsidR="00082CB4" w:rsidRPr="00EA2E07">
        <w:rPr>
          <w:rFonts w:ascii="Arial" w:hAnsi="Arial" w:cs="Arial"/>
        </w:rPr>
        <w:t xml:space="preserve"> </w:t>
      </w:r>
      <w:r w:rsidR="00082CB4" w:rsidRPr="00EA2E07">
        <w:rPr>
          <w:rFonts w:ascii="Arial" w:hAnsi="Arial" w:cs="Arial"/>
          <w:lang w:val="es-ES_tradnl"/>
        </w:rPr>
        <w:t>048 de 2015</w:t>
      </w:r>
      <w:r w:rsidR="00F64DD8">
        <w:rPr>
          <w:rFonts w:ascii="Arial" w:hAnsi="Arial" w:cs="Arial"/>
          <w:lang w:val="es-ES_tradnl"/>
        </w:rPr>
        <w:t xml:space="preserve"> Senado</w:t>
      </w:r>
      <w:r w:rsidR="00082CB4" w:rsidRPr="00EA2E07">
        <w:rPr>
          <w:rFonts w:ascii="Arial" w:hAnsi="Arial" w:cs="Arial"/>
          <w:lang w:val="es-ES_tradnl"/>
        </w:rPr>
        <w:t xml:space="preserve"> </w:t>
      </w:r>
      <w:r w:rsidR="00F64DD8">
        <w:rPr>
          <w:rFonts w:ascii="Arial" w:hAnsi="Arial" w:cs="Arial"/>
          <w:lang w:val="es-ES_tradnl"/>
        </w:rPr>
        <w:t xml:space="preserve">171 de 2015 Cámara </w:t>
      </w:r>
      <w:r w:rsidR="00082CB4" w:rsidRPr="00EA2E07">
        <w:rPr>
          <w:rFonts w:ascii="Arial" w:hAnsi="Arial" w:cs="Arial"/>
          <w:lang w:val="es-ES_tradnl"/>
        </w:rPr>
        <w:t>“</w:t>
      </w:r>
      <w:r w:rsidR="00082CB4" w:rsidRPr="00F64DD8">
        <w:rPr>
          <w:rFonts w:ascii="Arial" w:hAnsi="Arial" w:cs="Arial"/>
          <w:i/>
          <w:lang w:val="es-ES_tradnl"/>
        </w:rPr>
        <w:t>Por medio de la cual se definen las contravenciones penales, se establece un procedimiento especial abreviado para ellas y se regula la figura del acusador privado</w:t>
      </w:r>
      <w:r w:rsidR="00082CB4" w:rsidRPr="00EA2E07">
        <w:rPr>
          <w:rFonts w:ascii="Arial" w:hAnsi="Arial" w:cs="Arial"/>
          <w:lang w:val="es-ES_tradnl"/>
        </w:rPr>
        <w:t>”,</w:t>
      </w:r>
      <w:r w:rsidR="00583213" w:rsidRPr="00EA2E07">
        <w:rPr>
          <w:rFonts w:ascii="Arial" w:hAnsi="Arial" w:cs="Arial"/>
          <w:lang w:val="es-ES_tradnl"/>
        </w:rPr>
        <w:t xml:space="preserve"> con el pliego de modificaciones propuesto. </w:t>
      </w:r>
    </w:p>
    <w:p w:rsidR="00583213" w:rsidRPr="00EA2E07" w:rsidRDefault="00583213" w:rsidP="005E61BF">
      <w:pPr>
        <w:pStyle w:val="Listavistosa-nfasis11"/>
        <w:spacing w:after="0" w:line="240" w:lineRule="auto"/>
        <w:jc w:val="both"/>
        <w:rPr>
          <w:rFonts w:ascii="Arial" w:hAnsi="Arial" w:cs="Arial"/>
          <w:lang w:val="es-ES_tradnl"/>
        </w:rPr>
      </w:pPr>
    </w:p>
    <w:p w:rsidR="005F4214" w:rsidRDefault="005F4214" w:rsidP="005E61BF">
      <w:pPr>
        <w:spacing w:after="0" w:line="240" w:lineRule="auto"/>
        <w:jc w:val="both"/>
        <w:rPr>
          <w:rFonts w:ascii="Arial" w:hAnsi="Arial" w:cs="Arial"/>
          <w:sz w:val="24"/>
          <w:szCs w:val="24"/>
          <w:lang w:val="es-ES_tradnl"/>
        </w:rPr>
      </w:pPr>
    </w:p>
    <w:p w:rsidR="009E69CD" w:rsidRPr="00EA2E07" w:rsidRDefault="009E69CD" w:rsidP="005E61BF">
      <w:pPr>
        <w:spacing w:after="0" w:line="240" w:lineRule="auto"/>
        <w:ind w:left="720"/>
        <w:jc w:val="both"/>
        <w:rPr>
          <w:rFonts w:ascii="Arial" w:hAnsi="Arial" w:cs="Arial"/>
          <w:sz w:val="24"/>
          <w:szCs w:val="24"/>
        </w:rPr>
      </w:pPr>
    </w:p>
    <w:p w:rsidR="00F13870" w:rsidRPr="00EA2E07" w:rsidRDefault="00F13870" w:rsidP="005E61BF">
      <w:pPr>
        <w:pStyle w:val="NormalWeb"/>
        <w:shd w:val="clear" w:color="auto" w:fill="FFFFFF"/>
        <w:spacing w:before="0" w:beforeAutospacing="0" w:after="0" w:afterAutospacing="0"/>
        <w:jc w:val="both"/>
        <w:rPr>
          <w:rFonts w:ascii="Arial" w:hAnsi="Arial" w:cs="Arial"/>
          <w:b/>
          <w:color w:val="000000"/>
        </w:rPr>
      </w:pPr>
      <w:r w:rsidRPr="00EA2E07">
        <w:rPr>
          <w:rFonts w:ascii="Arial" w:hAnsi="Arial" w:cs="Arial"/>
          <w:b/>
          <w:color w:val="000000"/>
        </w:rPr>
        <w:t xml:space="preserve">Cordialmente, </w:t>
      </w:r>
    </w:p>
    <w:p w:rsidR="00F13870" w:rsidRPr="00EA2E07" w:rsidRDefault="00F13870" w:rsidP="005E61BF">
      <w:pPr>
        <w:pStyle w:val="NormalWeb"/>
        <w:shd w:val="clear" w:color="auto" w:fill="FFFFFF"/>
        <w:spacing w:before="0" w:beforeAutospacing="0" w:after="0" w:afterAutospacing="0"/>
        <w:jc w:val="both"/>
        <w:rPr>
          <w:rFonts w:ascii="Arial" w:hAnsi="Arial" w:cs="Arial"/>
          <w:b/>
          <w:color w:val="000000"/>
        </w:rPr>
      </w:pPr>
    </w:p>
    <w:p w:rsidR="00F13870" w:rsidRPr="00EA2E07" w:rsidRDefault="00F13870" w:rsidP="005E61BF">
      <w:pPr>
        <w:pStyle w:val="NormalWeb"/>
        <w:shd w:val="clear" w:color="auto" w:fill="FFFFFF"/>
        <w:spacing w:before="0" w:beforeAutospacing="0" w:after="0" w:afterAutospacing="0"/>
        <w:jc w:val="both"/>
        <w:rPr>
          <w:rFonts w:ascii="Arial" w:hAnsi="Arial" w:cs="Arial"/>
          <w:b/>
          <w:color w:val="000000"/>
        </w:rPr>
      </w:pPr>
    </w:p>
    <w:p w:rsidR="005844D4" w:rsidRDefault="005844D4" w:rsidP="005E61BF">
      <w:pPr>
        <w:pStyle w:val="NormalWeb"/>
        <w:shd w:val="clear" w:color="auto" w:fill="FFFFFF"/>
        <w:spacing w:before="0" w:beforeAutospacing="0" w:after="0" w:afterAutospacing="0"/>
        <w:jc w:val="both"/>
        <w:rPr>
          <w:rFonts w:ascii="Arial" w:hAnsi="Arial" w:cs="Arial"/>
          <w:b/>
          <w:color w:val="000000"/>
        </w:rPr>
      </w:pPr>
    </w:p>
    <w:p w:rsidR="005844D4" w:rsidRPr="00EA2E07" w:rsidRDefault="005844D4" w:rsidP="005E61BF">
      <w:pPr>
        <w:pStyle w:val="NormalWeb"/>
        <w:shd w:val="clear" w:color="auto" w:fill="FFFFFF"/>
        <w:spacing w:before="0" w:beforeAutospacing="0" w:after="0" w:afterAutospacing="0"/>
        <w:jc w:val="both"/>
        <w:rPr>
          <w:rFonts w:ascii="Arial" w:hAnsi="Arial" w:cs="Arial"/>
          <w:b/>
          <w:color w:val="000000"/>
        </w:rPr>
      </w:pPr>
    </w:p>
    <w:p w:rsidR="00F13870" w:rsidRPr="00EA2E07" w:rsidRDefault="00F13870" w:rsidP="005E61BF">
      <w:pPr>
        <w:pStyle w:val="NormalWeb"/>
        <w:shd w:val="clear" w:color="auto" w:fill="FFFFFF"/>
        <w:spacing w:before="0" w:beforeAutospacing="0" w:after="0" w:afterAutospacing="0"/>
        <w:jc w:val="both"/>
        <w:rPr>
          <w:rFonts w:ascii="Arial" w:hAnsi="Arial" w:cs="Arial"/>
          <w:b/>
          <w:color w:val="000000"/>
        </w:rPr>
      </w:pPr>
    </w:p>
    <w:p w:rsidR="00F13870" w:rsidRPr="004C22C2" w:rsidRDefault="004C22C2" w:rsidP="005E61BF">
      <w:pPr>
        <w:pStyle w:val="NormalWeb"/>
        <w:shd w:val="clear" w:color="auto" w:fill="FFFFFF"/>
        <w:spacing w:before="0" w:beforeAutospacing="0" w:after="0" w:afterAutospacing="0"/>
        <w:jc w:val="both"/>
        <w:rPr>
          <w:rFonts w:ascii="Arial" w:hAnsi="Arial" w:cs="Arial"/>
          <w:b/>
          <w:color w:val="000000"/>
        </w:rPr>
      </w:pPr>
      <w:r>
        <w:rPr>
          <w:rFonts w:ascii="Arial" w:hAnsi="Arial" w:cs="Arial"/>
          <w:b/>
          <w:color w:val="000000"/>
        </w:rPr>
        <w:t>HERNAN PENAGOS GIRALDO</w:t>
      </w:r>
      <w:r w:rsidR="00F13870" w:rsidRPr="004C22C2">
        <w:rPr>
          <w:rFonts w:ascii="Arial" w:hAnsi="Arial" w:cs="Arial"/>
          <w:b/>
          <w:color w:val="000000"/>
        </w:rPr>
        <w:t xml:space="preserve"> </w:t>
      </w:r>
      <w:r>
        <w:rPr>
          <w:rFonts w:ascii="Arial" w:hAnsi="Arial" w:cs="Arial"/>
          <w:b/>
          <w:color w:val="000000"/>
        </w:rPr>
        <w:tab/>
        <w:t xml:space="preserve">                     OSCAR HERNAN SANCHEZ</w:t>
      </w:r>
      <w:r w:rsidR="00512341" w:rsidRPr="004C22C2">
        <w:rPr>
          <w:rFonts w:ascii="Arial" w:hAnsi="Arial" w:cs="Arial"/>
          <w:b/>
          <w:color w:val="000000"/>
        </w:rPr>
        <w:tab/>
      </w:r>
    </w:p>
    <w:p w:rsidR="009E69CD" w:rsidRPr="004C22C2" w:rsidRDefault="00EA2E07" w:rsidP="00EA2E07">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Coordinador Ponente </w:t>
      </w:r>
      <w:r w:rsidR="00512341" w:rsidRPr="004C22C2">
        <w:rPr>
          <w:rFonts w:ascii="Arial" w:hAnsi="Arial" w:cs="Arial"/>
          <w:b/>
          <w:sz w:val="24"/>
          <w:szCs w:val="24"/>
          <w:lang w:val="es-ES_tradnl"/>
        </w:rPr>
        <w:tab/>
      </w:r>
      <w:r w:rsidR="00512341" w:rsidRPr="004C22C2">
        <w:rPr>
          <w:rFonts w:ascii="Arial" w:hAnsi="Arial" w:cs="Arial"/>
          <w:b/>
          <w:sz w:val="24"/>
          <w:szCs w:val="24"/>
          <w:lang w:val="es-ES_tradnl"/>
        </w:rPr>
        <w:tab/>
      </w:r>
      <w:r w:rsidR="00512341" w:rsidRPr="004C22C2">
        <w:rPr>
          <w:rFonts w:ascii="Arial" w:hAnsi="Arial" w:cs="Arial"/>
          <w:b/>
          <w:sz w:val="24"/>
          <w:szCs w:val="24"/>
          <w:lang w:val="es-ES_tradnl"/>
        </w:rPr>
        <w:tab/>
      </w:r>
      <w:r w:rsidR="00512341" w:rsidRPr="004C22C2">
        <w:rPr>
          <w:rFonts w:ascii="Arial" w:hAnsi="Arial" w:cs="Arial"/>
          <w:b/>
          <w:sz w:val="24"/>
          <w:szCs w:val="24"/>
          <w:lang w:val="es-ES_tradnl"/>
        </w:rPr>
        <w:tab/>
        <w:t>Ponente</w:t>
      </w:r>
    </w:p>
    <w:p w:rsidR="00512341" w:rsidRPr="004C22C2" w:rsidRDefault="00512341" w:rsidP="00EA2E07">
      <w:pPr>
        <w:spacing w:after="0" w:line="240" w:lineRule="auto"/>
        <w:jc w:val="both"/>
        <w:rPr>
          <w:rFonts w:ascii="Arial" w:hAnsi="Arial" w:cs="Arial"/>
          <w:b/>
          <w:sz w:val="24"/>
          <w:szCs w:val="24"/>
          <w:lang w:val="es-ES_tradnl"/>
        </w:rPr>
      </w:pPr>
    </w:p>
    <w:p w:rsidR="00512341" w:rsidRPr="004C22C2" w:rsidRDefault="00512341" w:rsidP="00EA2E07">
      <w:pPr>
        <w:spacing w:after="0" w:line="240" w:lineRule="auto"/>
        <w:jc w:val="both"/>
        <w:rPr>
          <w:rFonts w:ascii="Arial" w:hAnsi="Arial" w:cs="Arial"/>
          <w:b/>
          <w:sz w:val="24"/>
          <w:szCs w:val="24"/>
          <w:lang w:val="es-ES_tradnl"/>
        </w:rPr>
      </w:pPr>
    </w:p>
    <w:p w:rsidR="00512341" w:rsidRPr="004C22C2" w:rsidRDefault="00512341" w:rsidP="00EA2E07">
      <w:pPr>
        <w:spacing w:after="0" w:line="240" w:lineRule="auto"/>
        <w:jc w:val="both"/>
        <w:rPr>
          <w:rFonts w:ascii="Arial" w:hAnsi="Arial" w:cs="Arial"/>
          <w:b/>
          <w:sz w:val="24"/>
          <w:szCs w:val="24"/>
          <w:lang w:val="es-ES_tradnl"/>
        </w:rPr>
      </w:pPr>
    </w:p>
    <w:p w:rsidR="005C75F1" w:rsidRPr="004C22C2" w:rsidRDefault="005C75F1" w:rsidP="00EA2E07">
      <w:pPr>
        <w:spacing w:after="0" w:line="240" w:lineRule="auto"/>
        <w:jc w:val="both"/>
        <w:rPr>
          <w:rFonts w:ascii="Arial" w:hAnsi="Arial" w:cs="Arial"/>
          <w:b/>
          <w:sz w:val="24"/>
          <w:szCs w:val="24"/>
          <w:lang w:val="es-ES_tradnl"/>
        </w:rPr>
      </w:pPr>
    </w:p>
    <w:p w:rsidR="005C75F1" w:rsidRPr="004C22C2" w:rsidRDefault="005C75F1" w:rsidP="00EA2E07">
      <w:pPr>
        <w:spacing w:after="0" w:line="240" w:lineRule="auto"/>
        <w:jc w:val="both"/>
        <w:rPr>
          <w:rFonts w:ascii="Arial" w:hAnsi="Arial" w:cs="Arial"/>
          <w:b/>
          <w:sz w:val="24"/>
          <w:szCs w:val="24"/>
          <w:lang w:val="es-ES_tradnl"/>
        </w:rPr>
      </w:pPr>
    </w:p>
    <w:p w:rsidR="005C75F1" w:rsidRPr="004C22C2" w:rsidRDefault="005C75F1" w:rsidP="00EA2E07">
      <w:pPr>
        <w:spacing w:after="0" w:line="240" w:lineRule="auto"/>
        <w:jc w:val="both"/>
        <w:rPr>
          <w:rFonts w:ascii="Arial" w:hAnsi="Arial" w:cs="Arial"/>
          <w:b/>
          <w:sz w:val="24"/>
          <w:szCs w:val="24"/>
          <w:lang w:val="es-ES_tradnl"/>
        </w:rPr>
      </w:pPr>
    </w:p>
    <w:p w:rsidR="00512341" w:rsidRPr="004C22C2" w:rsidRDefault="004C22C2" w:rsidP="00EA2E07">
      <w:pPr>
        <w:spacing w:after="0" w:line="240" w:lineRule="auto"/>
        <w:jc w:val="both"/>
        <w:rPr>
          <w:rFonts w:ascii="Arial" w:hAnsi="Arial" w:cs="Arial"/>
          <w:b/>
          <w:sz w:val="24"/>
          <w:szCs w:val="24"/>
          <w:lang w:val="es-ES_tradnl"/>
        </w:rPr>
      </w:pPr>
      <w:r>
        <w:rPr>
          <w:rFonts w:ascii="Arial" w:hAnsi="Arial" w:cs="Arial"/>
          <w:b/>
          <w:sz w:val="24"/>
          <w:szCs w:val="24"/>
          <w:lang w:val="es-ES_tradnl"/>
        </w:rPr>
        <w:t>PEDRITO TOMAS PEREIRA</w:t>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t>EDWARD DAVID RODRIGUEZ</w:t>
      </w:r>
    </w:p>
    <w:p w:rsidR="00512341" w:rsidRPr="004C22C2" w:rsidRDefault="00512341" w:rsidP="00EA2E07">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t>Ponente</w:t>
      </w:r>
    </w:p>
    <w:p w:rsidR="00512341" w:rsidRPr="004C22C2" w:rsidRDefault="00512341" w:rsidP="00EA2E07">
      <w:pPr>
        <w:spacing w:after="0" w:line="240" w:lineRule="auto"/>
        <w:jc w:val="both"/>
        <w:rPr>
          <w:rFonts w:ascii="Arial" w:hAnsi="Arial" w:cs="Arial"/>
          <w:b/>
          <w:sz w:val="24"/>
          <w:szCs w:val="24"/>
          <w:lang w:val="es-ES_tradnl"/>
        </w:rPr>
      </w:pPr>
    </w:p>
    <w:p w:rsidR="005844D4" w:rsidRPr="004C22C2" w:rsidRDefault="005844D4" w:rsidP="00EA2E07">
      <w:pPr>
        <w:spacing w:after="0" w:line="240" w:lineRule="auto"/>
        <w:jc w:val="both"/>
        <w:rPr>
          <w:rFonts w:ascii="Arial" w:hAnsi="Arial" w:cs="Arial"/>
          <w:b/>
          <w:sz w:val="24"/>
          <w:szCs w:val="24"/>
          <w:lang w:val="es-ES_tradnl"/>
        </w:rPr>
      </w:pPr>
    </w:p>
    <w:p w:rsidR="005844D4" w:rsidRPr="004C22C2" w:rsidRDefault="005844D4" w:rsidP="00EA2E07">
      <w:pPr>
        <w:spacing w:after="0" w:line="240" w:lineRule="auto"/>
        <w:jc w:val="both"/>
        <w:rPr>
          <w:rFonts w:ascii="Arial" w:hAnsi="Arial" w:cs="Arial"/>
          <w:b/>
          <w:sz w:val="24"/>
          <w:szCs w:val="24"/>
          <w:lang w:val="es-ES_tradnl"/>
        </w:rPr>
      </w:pPr>
    </w:p>
    <w:p w:rsidR="005844D4" w:rsidRPr="004C22C2" w:rsidRDefault="005844D4" w:rsidP="00EA2E07">
      <w:pPr>
        <w:spacing w:after="0" w:line="240" w:lineRule="auto"/>
        <w:jc w:val="both"/>
        <w:rPr>
          <w:rFonts w:ascii="Arial" w:hAnsi="Arial" w:cs="Arial"/>
          <w:b/>
          <w:sz w:val="24"/>
          <w:szCs w:val="24"/>
          <w:lang w:val="es-ES_tradnl"/>
        </w:rPr>
      </w:pPr>
    </w:p>
    <w:p w:rsidR="005844D4" w:rsidRPr="004C22C2" w:rsidRDefault="005844D4" w:rsidP="00EA2E07">
      <w:pPr>
        <w:spacing w:after="0" w:line="240" w:lineRule="auto"/>
        <w:jc w:val="both"/>
        <w:rPr>
          <w:rFonts w:ascii="Arial" w:hAnsi="Arial" w:cs="Arial"/>
          <w:b/>
          <w:sz w:val="24"/>
          <w:szCs w:val="24"/>
          <w:lang w:val="es-ES_tradnl"/>
        </w:rPr>
      </w:pPr>
    </w:p>
    <w:p w:rsidR="00512341" w:rsidRPr="004C22C2" w:rsidRDefault="004C22C2" w:rsidP="00EA2E07">
      <w:pPr>
        <w:spacing w:after="0" w:line="240" w:lineRule="auto"/>
        <w:jc w:val="both"/>
        <w:rPr>
          <w:rFonts w:ascii="Arial" w:hAnsi="Arial" w:cs="Arial"/>
          <w:b/>
          <w:sz w:val="24"/>
          <w:szCs w:val="24"/>
          <w:lang w:val="es-ES_tradnl"/>
        </w:rPr>
      </w:pPr>
      <w:r>
        <w:rPr>
          <w:rFonts w:ascii="Arial" w:hAnsi="Arial" w:cs="Arial"/>
          <w:b/>
          <w:sz w:val="24"/>
          <w:szCs w:val="24"/>
          <w:lang w:val="es-ES_tradnl"/>
        </w:rPr>
        <w:t>RODRIGO LARA RESTREPO</w:t>
      </w:r>
      <w:r w:rsidR="00512341" w:rsidRPr="004C22C2">
        <w:rPr>
          <w:rFonts w:ascii="Arial" w:hAnsi="Arial" w:cs="Arial"/>
          <w:b/>
          <w:sz w:val="24"/>
          <w:szCs w:val="24"/>
          <w:lang w:val="es-ES_tradnl"/>
        </w:rPr>
        <w:tab/>
        <w:t xml:space="preserve"> </w:t>
      </w:r>
      <w:r>
        <w:rPr>
          <w:rFonts w:ascii="Arial" w:hAnsi="Arial" w:cs="Arial"/>
          <w:b/>
          <w:sz w:val="24"/>
          <w:szCs w:val="24"/>
          <w:lang w:val="es-ES_tradnl"/>
        </w:rPr>
        <w:tab/>
      </w:r>
      <w:r>
        <w:rPr>
          <w:rFonts w:ascii="Arial" w:hAnsi="Arial" w:cs="Arial"/>
          <w:b/>
          <w:sz w:val="24"/>
          <w:szCs w:val="24"/>
          <w:lang w:val="es-ES_tradnl"/>
        </w:rPr>
        <w:tab/>
        <w:t>ANGELICA LISBETH LOZANO</w:t>
      </w:r>
    </w:p>
    <w:p w:rsidR="00512341" w:rsidRPr="004C22C2" w:rsidRDefault="00512341" w:rsidP="00512341">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004C22C2">
        <w:rPr>
          <w:rFonts w:ascii="Arial" w:hAnsi="Arial" w:cs="Arial"/>
          <w:b/>
          <w:sz w:val="24"/>
          <w:szCs w:val="24"/>
          <w:lang w:val="es-ES_tradnl"/>
        </w:rPr>
        <w:t>Ponente</w:t>
      </w:r>
    </w:p>
    <w:p w:rsidR="00512341" w:rsidRPr="004C22C2" w:rsidRDefault="00512341" w:rsidP="00EA2E07">
      <w:pPr>
        <w:spacing w:after="0" w:line="240" w:lineRule="auto"/>
        <w:jc w:val="both"/>
        <w:rPr>
          <w:rFonts w:ascii="Arial" w:hAnsi="Arial" w:cs="Arial"/>
          <w:b/>
          <w:sz w:val="24"/>
          <w:szCs w:val="24"/>
          <w:lang w:val="es-ES_tradnl"/>
        </w:rPr>
      </w:pPr>
    </w:p>
    <w:p w:rsidR="00512341" w:rsidRPr="004C22C2" w:rsidRDefault="00512341" w:rsidP="00EA2E07">
      <w:pPr>
        <w:spacing w:after="0" w:line="240" w:lineRule="auto"/>
        <w:jc w:val="both"/>
        <w:rPr>
          <w:rFonts w:ascii="Arial" w:hAnsi="Arial" w:cs="Arial"/>
          <w:b/>
          <w:sz w:val="24"/>
          <w:szCs w:val="24"/>
          <w:lang w:val="es-ES_tradnl"/>
        </w:rPr>
      </w:pPr>
    </w:p>
    <w:p w:rsidR="00512341" w:rsidRPr="004C22C2" w:rsidRDefault="00512341" w:rsidP="00EA2E07">
      <w:pPr>
        <w:spacing w:after="0" w:line="240" w:lineRule="auto"/>
        <w:jc w:val="both"/>
        <w:rPr>
          <w:rFonts w:ascii="Arial" w:hAnsi="Arial" w:cs="Arial"/>
          <w:b/>
          <w:sz w:val="24"/>
          <w:szCs w:val="24"/>
          <w:lang w:val="es-ES_tradnl"/>
        </w:rPr>
      </w:pPr>
    </w:p>
    <w:p w:rsidR="005844D4" w:rsidRPr="004C22C2" w:rsidRDefault="005844D4" w:rsidP="00EA2E07">
      <w:pPr>
        <w:spacing w:after="0" w:line="240" w:lineRule="auto"/>
        <w:jc w:val="both"/>
        <w:rPr>
          <w:rFonts w:ascii="Arial" w:hAnsi="Arial" w:cs="Arial"/>
          <w:b/>
          <w:sz w:val="24"/>
          <w:szCs w:val="24"/>
          <w:lang w:val="es-ES_tradnl"/>
        </w:rPr>
      </w:pPr>
    </w:p>
    <w:p w:rsidR="00512341" w:rsidRPr="004C22C2" w:rsidRDefault="00512341" w:rsidP="00EA2E07">
      <w:pPr>
        <w:spacing w:after="0" w:line="240" w:lineRule="auto"/>
        <w:jc w:val="both"/>
        <w:rPr>
          <w:rFonts w:ascii="Arial" w:hAnsi="Arial" w:cs="Arial"/>
          <w:b/>
          <w:sz w:val="24"/>
          <w:szCs w:val="24"/>
          <w:lang w:val="es-ES_tradnl"/>
        </w:rPr>
      </w:pPr>
    </w:p>
    <w:p w:rsidR="00512341" w:rsidRPr="004C22C2" w:rsidRDefault="004C22C2" w:rsidP="00EA2E07">
      <w:pPr>
        <w:spacing w:after="0" w:line="240" w:lineRule="auto"/>
        <w:jc w:val="both"/>
        <w:rPr>
          <w:rFonts w:ascii="Arial" w:hAnsi="Arial" w:cs="Arial"/>
          <w:b/>
          <w:sz w:val="24"/>
          <w:szCs w:val="24"/>
          <w:lang w:val="es-ES_tradnl"/>
        </w:rPr>
      </w:pPr>
      <w:r>
        <w:rPr>
          <w:rFonts w:ascii="Arial" w:hAnsi="Arial" w:cs="Arial"/>
          <w:b/>
          <w:sz w:val="24"/>
          <w:szCs w:val="24"/>
          <w:lang w:val="es-ES_tradnl"/>
        </w:rPr>
        <w:t>CARLOS GERMÁN NAVAS TALERO</w:t>
      </w:r>
      <w:r w:rsidR="00D137EB" w:rsidRPr="004C22C2">
        <w:rPr>
          <w:rFonts w:ascii="Arial" w:hAnsi="Arial" w:cs="Arial"/>
          <w:b/>
          <w:sz w:val="24"/>
          <w:szCs w:val="24"/>
          <w:lang w:val="es-ES_tradnl"/>
        </w:rPr>
        <w:tab/>
      </w:r>
      <w:r w:rsidR="00D137EB" w:rsidRPr="004C22C2">
        <w:rPr>
          <w:rFonts w:ascii="Arial" w:hAnsi="Arial" w:cs="Arial"/>
          <w:b/>
          <w:sz w:val="24"/>
          <w:szCs w:val="24"/>
          <w:lang w:val="es-ES_tradnl"/>
        </w:rPr>
        <w:tab/>
      </w:r>
      <w:r>
        <w:rPr>
          <w:rFonts w:ascii="Arial" w:hAnsi="Arial" w:cs="Arial"/>
          <w:b/>
          <w:sz w:val="24"/>
          <w:szCs w:val="24"/>
          <w:lang w:val="es-ES_tradnl"/>
        </w:rPr>
        <w:t>FERNANDO DE LA PEÑA MARQUEZ</w:t>
      </w:r>
      <w:r w:rsidR="00D137EB" w:rsidRPr="004C22C2">
        <w:rPr>
          <w:rFonts w:ascii="Arial" w:hAnsi="Arial" w:cs="Arial"/>
          <w:b/>
          <w:sz w:val="24"/>
          <w:szCs w:val="24"/>
          <w:lang w:val="es-ES_tradnl"/>
        </w:rPr>
        <w:t xml:space="preserve"> </w:t>
      </w:r>
    </w:p>
    <w:p w:rsidR="00D137EB" w:rsidRDefault="00D137EB" w:rsidP="00D137EB">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t>Ponente</w:t>
      </w:r>
    </w:p>
    <w:p w:rsidR="00512341" w:rsidRDefault="00512341" w:rsidP="00EA2E07">
      <w:pPr>
        <w:spacing w:after="0" w:line="240" w:lineRule="auto"/>
        <w:jc w:val="both"/>
        <w:rPr>
          <w:rFonts w:ascii="Arial" w:hAnsi="Arial" w:cs="Arial"/>
          <w:b/>
          <w:sz w:val="24"/>
          <w:szCs w:val="24"/>
          <w:lang w:val="es-ES_tradnl"/>
        </w:rPr>
      </w:pPr>
    </w:p>
    <w:p w:rsidR="00B13ED0" w:rsidRPr="00EA2E07" w:rsidRDefault="00B13ED0">
      <w:pPr>
        <w:rPr>
          <w:rFonts w:ascii="Arial" w:hAnsi="Arial" w:cs="Arial"/>
          <w:b/>
          <w:sz w:val="24"/>
          <w:szCs w:val="24"/>
        </w:rPr>
      </w:pPr>
    </w:p>
    <w:p w:rsidR="00163F10" w:rsidRPr="00EA2E07" w:rsidRDefault="009E2E20" w:rsidP="005E61BF">
      <w:pPr>
        <w:spacing w:after="0" w:line="240" w:lineRule="auto"/>
        <w:jc w:val="center"/>
        <w:rPr>
          <w:rFonts w:ascii="Arial" w:hAnsi="Arial" w:cs="Arial"/>
          <w:b/>
          <w:sz w:val="24"/>
          <w:szCs w:val="24"/>
        </w:rPr>
      </w:pPr>
      <w:r w:rsidRPr="00EA2E07">
        <w:rPr>
          <w:rFonts w:ascii="Arial" w:hAnsi="Arial" w:cs="Arial"/>
          <w:b/>
          <w:sz w:val="24"/>
          <w:szCs w:val="24"/>
        </w:rPr>
        <w:lastRenderedPageBreak/>
        <w:t xml:space="preserve">TEXTO PROPUESTO PARA </w:t>
      </w:r>
      <w:r w:rsidR="00E97F53">
        <w:rPr>
          <w:rFonts w:ascii="Arial" w:hAnsi="Arial" w:cs="Arial"/>
          <w:b/>
          <w:sz w:val="24"/>
          <w:szCs w:val="24"/>
        </w:rPr>
        <w:t>PRIMER</w:t>
      </w:r>
      <w:r w:rsidRPr="00EA2E07">
        <w:rPr>
          <w:rFonts w:ascii="Arial" w:hAnsi="Arial" w:cs="Arial"/>
          <w:b/>
          <w:sz w:val="24"/>
          <w:szCs w:val="24"/>
        </w:rPr>
        <w:t xml:space="preserve"> DEBATE</w:t>
      </w:r>
    </w:p>
    <w:p w:rsidR="00082CB4" w:rsidRPr="00EA2E07" w:rsidRDefault="009E2E20" w:rsidP="00082CB4">
      <w:pPr>
        <w:spacing w:after="0" w:line="240" w:lineRule="auto"/>
        <w:jc w:val="center"/>
        <w:rPr>
          <w:rFonts w:ascii="Arial" w:hAnsi="Arial" w:cs="Arial"/>
          <w:b/>
          <w:sz w:val="24"/>
          <w:szCs w:val="24"/>
        </w:rPr>
      </w:pPr>
      <w:r w:rsidRPr="00EA2E07">
        <w:rPr>
          <w:rFonts w:ascii="Arial" w:hAnsi="Arial" w:cs="Arial"/>
          <w:b/>
          <w:sz w:val="24"/>
          <w:szCs w:val="24"/>
        </w:rPr>
        <w:t xml:space="preserve"> PROYECTO DE LEY </w:t>
      </w:r>
      <w:r w:rsidR="00082CB4" w:rsidRPr="00EA2E07">
        <w:rPr>
          <w:rFonts w:ascii="Arial" w:hAnsi="Arial" w:cs="Arial"/>
          <w:b/>
          <w:sz w:val="24"/>
          <w:szCs w:val="24"/>
        </w:rPr>
        <w:t>48 DE 2015 SENADO</w:t>
      </w:r>
      <w:r w:rsidR="00F64DD8">
        <w:rPr>
          <w:rFonts w:ascii="Arial" w:hAnsi="Arial" w:cs="Arial"/>
          <w:b/>
          <w:sz w:val="24"/>
          <w:szCs w:val="24"/>
        </w:rPr>
        <w:t xml:space="preserve"> 171 DE 2015 CÁMARA</w:t>
      </w:r>
    </w:p>
    <w:p w:rsidR="00082CB4" w:rsidRPr="00EA2E07" w:rsidRDefault="00082CB4" w:rsidP="00082CB4">
      <w:pPr>
        <w:spacing w:after="0" w:line="240" w:lineRule="auto"/>
        <w:jc w:val="center"/>
        <w:rPr>
          <w:rFonts w:ascii="Arial" w:hAnsi="Arial" w:cs="Arial"/>
          <w:b/>
          <w:sz w:val="24"/>
          <w:szCs w:val="24"/>
        </w:rPr>
      </w:pPr>
    </w:p>
    <w:p w:rsidR="00B13ED0" w:rsidRPr="00EA2E07" w:rsidRDefault="00B13ED0" w:rsidP="00082CB4">
      <w:pPr>
        <w:spacing w:after="0" w:line="240" w:lineRule="auto"/>
        <w:jc w:val="center"/>
        <w:rPr>
          <w:rFonts w:ascii="Arial" w:hAnsi="Arial" w:cs="Arial"/>
          <w:b/>
          <w:sz w:val="24"/>
          <w:szCs w:val="24"/>
        </w:rPr>
      </w:pPr>
    </w:p>
    <w:p w:rsidR="00082CB4" w:rsidRPr="00EA2E07" w:rsidRDefault="00082CB4" w:rsidP="00082CB4">
      <w:pPr>
        <w:spacing w:after="0" w:line="240" w:lineRule="auto"/>
        <w:jc w:val="center"/>
        <w:rPr>
          <w:rFonts w:ascii="Arial" w:hAnsi="Arial" w:cs="Arial"/>
          <w:b/>
          <w:sz w:val="24"/>
          <w:szCs w:val="24"/>
        </w:rPr>
      </w:pPr>
      <w:r w:rsidRPr="00EA2E07">
        <w:rPr>
          <w:rFonts w:ascii="Arial" w:hAnsi="Arial" w:cs="Arial"/>
          <w:b/>
          <w:sz w:val="24"/>
          <w:szCs w:val="24"/>
        </w:rPr>
        <w:t>“Por medio de la cual se definen las contravenciones penales, se establece un procedimiento especial abreviado para ellas y se regula la figura del acusador privado”.</w:t>
      </w:r>
    </w:p>
    <w:p w:rsidR="00082CB4" w:rsidRPr="00EA2E07" w:rsidRDefault="00082CB4" w:rsidP="00082CB4">
      <w:pPr>
        <w:spacing w:after="0" w:line="240" w:lineRule="auto"/>
        <w:jc w:val="center"/>
        <w:rPr>
          <w:rFonts w:ascii="Arial" w:hAnsi="Arial" w:cs="Arial"/>
          <w:b/>
          <w:sz w:val="24"/>
          <w:szCs w:val="24"/>
        </w:rPr>
      </w:pPr>
    </w:p>
    <w:p w:rsidR="00B13ED0" w:rsidRPr="00EA2E07" w:rsidRDefault="00B13ED0" w:rsidP="00082CB4">
      <w:pPr>
        <w:spacing w:after="0" w:line="240" w:lineRule="auto"/>
        <w:jc w:val="center"/>
        <w:rPr>
          <w:rFonts w:ascii="Arial" w:hAnsi="Arial" w:cs="Arial"/>
          <w:b/>
          <w:sz w:val="24"/>
          <w:szCs w:val="24"/>
        </w:rPr>
      </w:pPr>
    </w:p>
    <w:p w:rsidR="00082CB4" w:rsidRPr="00EA2E07" w:rsidRDefault="00082CB4" w:rsidP="00082CB4">
      <w:pPr>
        <w:spacing w:after="0" w:line="240" w:lineRule="auto"/>
        <w:jc w:val="center"/>
        <w:rPr>
          <w:rFonts w:ascii="Arial" w:hAnsi="Arial" w:cs="Arial"/>
          <w:b/>
          <w:sz w:val="24"/>
          <w:szCs w:val="24"/>
        </w:rPr>
      </w:pPr>
      <w:r w:rsidRPr="00EA2E07">
        <w:rPr>
          <w:rFonts w:ascii="Arial" w:hAnsi="Arial" w:cs="Arial"/>
          <w:b/>
          <w:sz w:val="24"/>
          <w:szCs w:val="24"/>
        </w:rPr>
        <w:t>El Congreso de Colombia</w:t>
      </w:r>
    </w:p>
    <w:p w:rsidR="00B13ED0" w:rsidRPr="00EA2E07" w:rsidRDefault="00B13ED0" w:rsidP="00082CB4">
      <w:pPr>
        <w:spacing w:after="0" w:line="240" w:lineRule="auto"/>
        <w:jc w:val="center"/>
        <w:rPr>
          <w:rFonts w:ascii="Arial" w:hAnsi="Arial" w:cs="Arial"/>
          <w:b/>
          <w:sz w:val="24"/>
          <w:szCs w:val="24"/>
        </w:rPr>
      </w:pPr>
    </w:p>
    <w:p w:rsidR="00C7654E" w:rsidRPr="00EA2E07" w:rsidRDefault="00082CB4" w:rsidP="00082CB4">
      <w:pPr>
        <w:spacing w:after="0" w:line="240" w:lineRule="auto"/>
        <w:jc w:val="center"/>
        <w:rPr>
          <w:rFonts w:ascii="Arial" w:hAnsi="Arial" w:cs="Arial"/>
          <w:b/>
          <w:sz w:val="24"/>
          <w:szCs w:val="24"/>
        </w:rPr>
      </w:pPr>
      <w:r w:rsidRPr="00EA2E07">
        <w:rPr>
          <w:rFonts w:ascii="Arial" w:hAnsi="Arial" w:cs="Arial"/>
          <w:b/>
          <w:sz w:val="24"/>
          <w:szCs w:val="24"/>
        </w:rPr>
        <w:t>DECRETA:</w:t>
      </w:r>
    </w:p>
    <w:p w:rsidR="00082CB4" w:rsidRPr="00EA2E07" w:rsidRDefault="00082CB4" w:rsidP="00082CB4">
      <w:pPr>
        <w:spacing w:after="0" w:line="240" w:lineRule="auto"/>
        <w:jc w:val="center"/>
        <w:rPr>
          <w:rFonts w:ascii="Arial" w:hAnsi="Arial" w:cs="Arial"/>
          <w:b/>
          <w:color w:val="000000"/>
          <w:sz w:val="24"/>
          <w:szCs w:val="24"/>
          <w:u w:val="single"/>
        </w:rPr>
      </w:pPr>
    </w:p>
    <w:p w:rsidR="00163F10" w:rsidRPr="00414BF5" w:rsidRDefault="00163F10" w:rsidP="005E61BF">
      <w:pPr>
        <w:pStyle w:val="NormalWeb"/>
        <w:shd w:val="clear" w:color="auto" w:fill="FFFFFF"/>
        <w:spacing w:before="0" w:beforeAutospacing="0" w:after="0" w:afterAutospacing="0"/>
        <w:jc w:val="both"/>
        <w:rPr>
          <w:rFonts w:ascii="Arial" w:hAnsi="Arial" w:cs="Arial"/>
          <w:b/>
          <w:color w:val="000000"/>
          <w:u w:val="single"/>
        </w:rPr>
      </w:pPr>
    </w:p>
    <w:p w:rsidR="005E419B" w:rsidRPr="00414BF5" w:rsidRDefault="005E419B" w:rsidP="005E61BF">
      <w:pPr>
        <w:pStyle w:val="NormalWeb"/>
        <w:shd w:val="clear" w:color="auto" w:fill="FFFFFF"/>
        <w:spacing w:before="0" w:beforeAutospacing="0" w:after="0" w:afterAutospacing="0"/>
        <w:jc w:val="both"/>
        <w:rPr>
          <w:rFonts w:ascii="Arial" w:hAnsi="Arial" w:cs="Arial"/>
          <w:b/>
          <w:color w:val="000000"/>
          <w:u w:val="single"/>
        </w:rPr>
      </w:pPr>
    </w:p>
    <w:p w:rsidR="00F64DD8" w:rsidRPr="00414BF5" w:rsidRDefault="00F64DD8" w:rsidP="005E61BF">
      <w:pPr>
        <w:pStyle w:val="NormalWeb"/>
        <w:shd w:val="clear" w:color="auto" w:fill="FFFFFF"/>
        <w:spacing w:before="0" w:beforeAutospacing="0" w:after="0" w:afterAutospacing="0"/>
        <w:jc w:val="both"/>
        <w:rPr>
          <w:rFonts w:ascii="Arial" w:hAnsi="Arial" w:cs="Arial"/>
          <w:b/>
          <w:color w:val="000000"/>
          <w:u w:val="single"/>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 Modifíquese el artículo 112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112. </w:t>
      </w:r>
      <w:r w:rsidRPr="00414BF5">
        <w:rPr>
          <w:rFonts w:ascii="Arial" w:eastAsia="Calibri" w:hAnsi="Arial" w:cs="Arial"/>
          <w:b/>
          <w:bCs/>
          <w:i/>
          <w:iCs/>
          <w:sz w:val="24"/>
          <w:szCs w:val="24"/>
          <w:lang w:val="es-ES_tradnl"/>
        </w:rPr>
        <w:t>Incapacidad para trabajar o enfermedad</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Si el daño consistiere en incapacidad para trabajar o en enfermedad que pasare de noventa (90) días, la pena será de treinta y dos (32) a noventa (90) meses de prisión y multa de trece punto treinta y tres (13.33) a treinta (30) salarios mínimos legales mensuales vigentes.</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 Modifíquese el artículo 113 de la Ley 599 de 2000, modificado por la Ley 1639 de 2013,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113. </w:t>
      </w:r>
      <w:r w:rsidRPr="00414BF5">
        <w:rPr>
          <w:rFonts w:ascii="Arial" w:eastAsia="Calibri" w:hAnsi="Arial" w:cs="Arial"/>
          <w:b/>
          <w:bCs/>
          <w:i/>
          <w:iCs/>
          <w:sz w:val="24"/>
          <w:szCs w:val="24"/>
          <w:lang w:val="es-ES_tradnl"/>
        </w:rPr>
        <w:t>Deformidad permanente</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Si el daño consistiere en deformidad física permanente, la pena será de prisión de treinta y dos (32) a ciento veintiséis (126) meses y multa de treinta y cuatro punto sesenta y seis (34.66) a cincuenta y cuatro (54) salarios mínimos legales mensuales vigentes.</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daño consistiere en deformidad física causada usando cualquier tipo de ácidos; álcalis; sustancias similares o corrosivas que generen daño o destrucción al entrar en contacto con el tejido humano, incurrirá en pena de prisión de setenta y dos (72) a ciento veintiséis (126) meses y multa de treinta y cuatro punto sesenta y seis (34.66) a cincuenta y cuatro (54) salarios mínimos legales mensuales vigentes.</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Si la deformidad afectare el rostro, la pena se aumentará desde una tercera parte hasta la mitad.</w:t>
      </w:r>
    </w:p>
    <w:p w:rsidR="00704C86" w:rsidRPr="00414BF5" w:rsidRDefault="00704C86"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3°. Modifíquese el artículo 114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i/>
          <w:iCs/>
          <w:sz w:val="24"/>
          <w:szCs w:val="24"/>
          <w:lang w:val="es-ES_tradnl"/>
        </w:rPr>
        <w:lastRenderedPageBreak/>
        <w:t>Artículo 114. Perturbación funcional permanente</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Si el daño consistiere en perturbación funcional permanente, la pena será de cuarenta y ocho (48) a ciento cuarenta y cuatro (144) meses de prisión y multa de treinta y cuatro punto sesenta y seis (34.66) a cincuenta y cuatro (54) salarios mínimos legales mensuales vigentes.</w:t>
      </w:r>
    </w:p>
    <w:p w:rsidR="00704C86" w:rsidRPr="00414BF5" w:rsidRDefault="00704C86" w:rsidP="00704C86">
      <w:pPr>
        <w:spacing w:after="0" w:line="240" w:lineRule="auto"/>
        <w:ind w:left="708"/>
        <w:jc w:val="both"/>
        <w:rPr>
          <w:rFonts w:ascii="Arial" w:eastAsia="Calibri" w:hAnsi="Arial" w:cs="Arial"/>
          <w:sz w:val="24"/>
          <w:szCs w:val="24"/>
          <w:lang w:val="es-CO"/>
        </w:rPr>
      </w:pPr>
    </w:p>
    <w:p w:rsidR="00704C86" w:rsidRPr="00414BF5" w:rsidRDefault="00704C86" w:rsidP="00704C86">
      <w:pPr>
        <w:spacing w:after="0" w:line="240" w:lineRule="auto"/>
        <w:ind w:left="708"/>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4°. Elimínese el segundo inciso del artículo 239 de la Ley 599 de 2000, el artículo quedará así:</w:t>
      </w:r>
    </w:p>
    <w:p w:rsidR="001D163D" w:rsidRPr="00414BF5" w:rsidRDefault="001D163D"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i/>
          <w:iCs/>
          <w:sz w:val="24"/>
          <w:szCs w:val="24"/>
          <w:lang w:val="es-ES_tradnl"/>
        </w:rPr>
        <w:t>Artículo 239. Hurto</w:t>
      </w:r>
      <w:r w:rsidRPr="00414BF5">
        <w:rPr>
          <w:rFonts w:ascii="Arial" w:eastAsia="Calibri" w:hAnsi="Arial" w:cs="Arial"/>
          <w:sz w:val="24"/>
          <w:szCs w:val="24"/>
          <w:lang w:val="es-ES_tradnl"/>
        </w:rPr>
        <w:t>. El que se apodere de una cosa mueble ajena cuya cuantía sea o exceda de ciento cincuenta (150) salarios mínimos legales mensuales vigentes, con el propósito de obtener provecho para sí o para otro, incurrirá en prisión de treinta y dos (32) a ciento ocho (108) meses.</w:t>
      </w:r>
    </w:p>
    <w:p w:rsidR="00704C86" w:rsidRPr="00414BF5" w:rsidRDefault="00704C86" w:rsidP="00704C86">
      <w:pPr>
        <w:spacing w:after="0" w:line="240" w:lineRule="auto"/>
        <w:ind w:left="708"/>
        <w:jc w:val="both"/>
        <w:rPr>
          <w:rFonts w:ascii="Arial" w:eastAsia="Calibri" w:hAnsi="Arial" w:cs="Arial"/>
          <w:sz w:val="24"/>
          <w:szCs w:val="24"/>
          <w:lang w:val="es-CO"/>
        </w:rPr>
      </w:pPr>
    </w:p>
    <w:p w:rsidR="00704C86" w:rsidRPr="00414BF5" w:rsidRDefault="00704C86" w:rsidP="00704C86">
      <w:pPr>
        <w:spacing w:after="0" w:line="240" w:lineRule="auto"/>
        <w:ind w:left="708"/>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 Elimínese el tercer inciso del artículo 246 de la Ley 599 de 2000; el artículo quedará así:</w:t>
      </w:r>
    </w:p>
    <w:p w:rsidR="001D163D" w:rsidRPr="00414BF5" w:rsidRDefault="001D163D"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246. </w:t>
      </w:r>
      <w:r w:rsidRPr="00414BF5">
        <w:rPr>
          <w:rFonts w:ascii="Arial" w:eastAsia="Calibri" w:hAnsi="Arial" w:cs="Arial"/>
          <w:b/>
          <w:bCs/>
          <w:i/>
          <w:iCs/>
          <w:sz w:val="24"/>
          <w:szCs w:val="24"/>
          <w:lang w:val="es-ES_tradnl"/>
        </w:rPr>
        <w:t>Estafa</w:t>
      </w:r>
      <w:r w:rsidRPr="00414BF5">
        <w:rPr>
          <w:rFonts w:ascii="Arial" w:eastAsia="Calibri" w:hAnsi="Arial" w:cs="Arial"/>
          <w:sz w:val="24"/>
          <w:szCs w:val="24"/>
          <w:lang w:val="es-ES_tradnl"/>
        </w:rPr>
        <w:t>. El que obtenga provecho ilícito para sí o para un tercero, cuya cuantía sea o exceda de ciento cincuenta (150) salarios mínimos legales mensuales vigentes, con perjuicio ajeno, induciendo o manteniendo a otro en error por medio de artificios o engaños, incurrirá en prisión de treinta y dos (32) a ciento cuarenta y cuatro (144) meses y multa de sesenta y seis punto sesenta y seis (66.66) a mil quinientos (1.500) salarios mínimos legales mensuales vigentes.</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la misma pena incurrirá el que en lotería, rifa o juego, obtenga provecho para sí o para otros, valiéndose de cualquier medio fraudulento para asegurar un determinado resultado.</w:t>
      </w:r>
    </w:p>
    <w:p w:rsidR="00704C86" w:rsidRPr="00414BF5" w:rsidRDefault="00704C86" w:rsidP="00704C86">
      <w:pPr>
        <w:spacing w:after="0" w:line="240" w:lineRule="auto"/>
        <w:ind w:left="708"/>
        <w:jc w:val="both"/>
        <w:rPr>
          <w:rFonts w:ascii="Arial" w:eastAsia="Calibri" w:hAnsi="Arial" w:cs="Arial"/>
          <w:sz w:val="24"/>
          <w:szCs w:val="24"/>
          <w:lang w:val="es-CO"/>
        </w:rPr>
      </w:pPr>
    </w:p>
    <w:p w:rsidR="001D163D" w:rsidRPr="00414BF5" w:rsidRDefault="001D163D" w:rsidP="00704C86">
      <w:pPr>
        <w:spacing w:after="0" w:line="240" w:lineRule="auto"/>
        <w:ind w:left="708"/>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 Modifíquese el artículo 250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250. </w:t>
      </w:r>
      <w:r w:rsidRPr="00414BF5">
        <w:rPr>
          <w:rFonts w:ascii="Arial" w:eastAsia="Calibri" w:hAnsi="Arial" w:cs="Arial"/>
          <w:b/>
          <w:bCs/>
          <w:i/>
          <w:iCs/>
          <w:sz w:val="24"/>
          <w:szCs w:val="24"/>
          <w:lang w:val="es-ES_tradnl"/>
        </w:rPr>
        <w:t>Abuso de confianza calificado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se apropie en provecho suyo o de un tercero, de cosa mueble ajena, que se le haya confiado o entregado por un título no traslativo de dominio, incurrirá en prisión de cuarenta y ocho (48) a ciento ocho (108) meses, y multa de cuarenta (40) a setecientos cincuenta (750) salarios mínimos legales mensuales vigentes si la conducta se cometiere:</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pStyle w:val="Prrafodelista"/>
        <w:numPr>
          <w:ilvl w:val="0"/>
          <w:numId w:val="28"/>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Abusando de funciones discernidas, reconocidas o confiadas por autoridad pública.</w:t>
      </w:r>
    </w:p>
    <w:p w:rsidR="00704C86" w:rsidRPr="00414BF5" w:rsidRDefault="00704C86" w:rsidP="001D163D">
      <w:pPr>
        <w:pStyle w:val="Prrafodelista"/>
        <w:spacing w:after="0" w:line="240" w:lineRule="auto"/>
        <w:ind w:left="360"/>
        <w:jc w:val="both"/>
        <w:rPr>
          <w:rFonts w:ascii="Arial" w:eastAsia="Calibri" w:hAnsi="Arial" w:cs="Arial"/>
          <w:sz w:val="24"/>
          <w:szCs w:val="24"/>
          <w:lang w:val="es-CO"/>
        </w:rPr>
      </w:pPr>
    </w:p>
    <w:p w:rsidR="00704C86" w:rsidRPr="00414BF5" w:rsidRDefault="00704C86" w:rsidP="001D163D">
      <w:pPr>
        <w:pStyle w:val="Prrafodelista"/>
        <w:numPr>
          <w:ilvl w:val="0"/>
          <w:numId w:val="28"/>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En caso de depósito necesario.</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pStyle w:val="Prrafodelista"/>
        <w:numPr>
          <w:ilvl w:val="0"/>
          <w:numId w:val="28"/>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Sobre bienes pertenecientes a empresas o instituciones en que el Estado tenga la totalidad o la mayor parte, o recibidos a cualquier título de este.</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pStyle w:val="Prrafodelista"/>
        <w:numPr>
          <w:ilvl w:val="0"/>
          <w:numId w:val="28"/>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lastRenderedPageBreak/>
        <w:t>Sobre bienes pertenecientes a asociaciones profesionales, cívicas, sindicales, comunitarias, juveniles, benéficas o de utilidad común no gubernamentales.</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 Modifíquese el artículo 265 de la Ley 599 de 2000, el cual quedará así:</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265. </w:t>
      </w:r>
      <w:r w:rsidRPr="00414BF5">
        <w:rPr>
          <w:rFonts w:ascii="Arial" w:eastAsia="Calibri" w:hAnsi="Arial" w:cs="Arial"/>
          <w:b/>
          <w:bCs/>
          <w:i/>
          <w:iCs/>
          <w:sz w:val="24"/>
          <w:szCs w:val="24"/>
          <w:lang w:val="es-ES_tradnl"/>
        </w:rPr>
        <w:t>Daño en bien ajeno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destruya, inutilice, haga desaparecer o de cualquier otro modo dañe bien ajeno, mueble o inmueble incurrirá en prisión de dieciséis (16) a ciento veinte (120) meses y multa de seis punto sesenta y seis (6.66) a cincuenta (50) salarios mínimos legales mensuales vigentes, si la conducta se cometiere:</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pStyle w:val="Prrafodelista"/>
        <w:numPr>
          <w:ilvl w:val="0"/>
          <w:numId w:val="29"/>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Produciendo infección o contagio en plantas o animales.</w:t>
      </w:r>
    </w:p>
    <w:p w:rsidR="00704C86" w:rsidRPr="00414BF5" w:rsidRDefault="00704C86" w:rsidP="001D163D">
      <w:pPr>
        <w:pStyle w:val="Prrafodelista"/>
        <w:spacing w:after="0" w:line="240" w:lineRule="auto"/>
        <w:ind w:left="360"/>
        <w:jc w:val="both"/>
        <w:rPr>
          <w:rFonts w:ascii="Arial" w:eastAsia="Calibri" w:hAnsi="Arial" w:cs="Arial"/>
          <w:sz w:val="24"/>
          <w:szCs w:val="24"/>
          <w:lang w:val="es-CO"/>
        </w:rPr>
      </w:pPr>
    </w:p>
    <w:p w:rsidR="00704C86" w:rsidRPr="00414BF5" w:rsidRDefault="00704C86" w:rsidP="001D163D">
      <w:pPr>
        <w:pStyle w:val="Prrafodelista"/>
        <w:numPr>
          <w:ilvl w:val="0"/>
          <w:numId w:val="29"/>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Empleando sustancias venenosas o corrosivas.</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pStyle w:val="Prrafodelista"/>
        <w:numPr>
          <w:ilvl w:val="0"/>
          <w:numId w:val="29"/>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En despoblado o lugar solitario.</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pStyle w:val="Prrafodelista"/>
        <w:numPr>
          <w:ilvl w:val="0"/>
          <w:numId w:val="29"/>
        </w:numPr>
        <w:spacing w:after="0" w:line="240" w:lineRule="auto"/>
        <w:ind w:left="360"/>
        <w:jc w:val="both"/>
        <w:rPr>
          <w:rFonts w:ascii="Arial" w:eastAsia="Calibri" w:hAnsi="Arial" w:cs="Arial"/>
          <w:sz w:val="24"/>
          <w:szCs w:val="24"/>
          <w:lang w:val="es-ES_tradnl"/>
        </w:rPr>
      </w:pPr>
      <w:r w:rsidRPr="00414BF5">
        <w:rPr>
          <w:rFonts w:ascii="Arial" w:eastAsia="Calibri" w:hAnsi="Arial" w:cs="Arial"/>
          <w:sz w:val="24"/>
          <w:szCs w:val="24"/>
          <w:lang w:val="es-ES_tradnl"/>
        </w:rPr>
        <w:t>Sobre objetos de interés científico, histórico, asistencial, educativo, cultural, artístico, sobre bien de uso público, de utilidad social, o sobre bienes que conforman el patrimonio cultural de la Nación.</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dieciséis (16) a treinta y seis (36) meses de prisión y multa hasta de quince (15) salarios mínimos legales mensuales vigentes, cuando el monto del daño no exceda de diez (10) salarios mínimos legales mensuales vigentes.</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se resarciere el daño ocasionado al ofendido o perjudicado antes de proferirse sentencia de primera o única instancia, habrá lugar al proferimiento de resolución inhibitoria, preclusión de la investigación o cesación de procedimiento.</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 Modifíquese el artículo 348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348. </w:t>
      </w:r>
      <w:r w:rsidRPr="00414BF5">
        <w:rPr>
          <w:rFonts w:ascii="Arial" w:eastAsia="Calibri" w:hAnsi="Arial" w:cs="Arial"/>
          <w:b/>
          <w:bCs/>
          <w:i/>
          <w:iCs/>
          <w:sz w:val="24"/>
          <w:szCs w:val="24"/>
          <w:lang w:val="es-ES_tradnl"/>
        </w:rPr>
        <w:t>Instigación a delinquir.</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pública y directamente incite a otro u otros a la comisión de delitos de genocidio, desaparición forzada de personas, secuestro extorsivo, tortura, traslado forzoso de población u homicidio o con fines terroristas, incurrirá en prisión de ochenta (80) a ciento ochenta (180) meses de prisión y multa de seiscientos sesenta y seis punto sesenta y seis (666.66) a mil quinientos (1.500) salarios mínimos mensuales legales vigentes.</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9°. Elimínese el inciso final del artículo 359 de la Ley 599 de 2000, modificado por la Ley 1453 de 2011, el artículo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359.</w:t>
      </w:r>
      <w:r w:rsidRPr="00414BF5">
        <w:rPr>
          <w:rFonts w:ascii="Arial" w:eastAsia="Calibri" w:hAnsi="Arial" w:cs="Arial"/>
          <w:b/>
          <w:bCs/>
          <w:i/>
          <w:iCs/>
          <w:sz w:val="24"/>
          <w:szCs w:val="24"/>
          <w:lang w:val="es-ES_tradnl"/>
        </w:rPr>
        <w:t> Empleo o lanzamiento de sustancias u objetos peligrosos.</w:t>
      </w:r>
      <w:r w:rsidRPr="00414BF5">
        <w:rPr>
          <w:rFonts w:ascii="Arial" w:eastAsia="Calibri" w:hAnsi="Arial" w:cs="Arial"/>
          <w:sz w:val="24"/>
          <w:szCs w:val="24"/>
          <w:lang w:val="es-ES_tradnl"/>
        </w:rPr>
        <w:t xml:space="preserve"> El que emplee, envíe, remita o lance contra persona, edificio o medio de locomoción, o en lugar </w:t>
      </w:r>
      <w:r w:rsidRPr="00414BF5">
        <w:rPr>
          <w:rFonts w:ascii="Arial" w:eastAsia="Calibri" w:hAnsi="Arial" w:cs="Arial"/>
          <w:sz w:val="24"/>
          <w:szCs w:val="24"/>
          <w:lang w:val="es-ES_tradnl"/>
        </w:rPr>
        <w:lastRenderedPageBreak/>
        <w:t>público o abierto al público, sustancia u objeto de los mencionados en el artículo precedente, incurrirá en prisión de dieciséis (16) a noventa (90) meses, siempre que la conducta no constituya otro delito.</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la conducta se comete al interior de un escenario deportivo o cultural, además se incurrirá en multa de cinco (5) a diez (10) salarios mínimos legales mensuales vigentes y en prohibición de acudir al escenario cultural o deportivo por un periodo entre seis (6) meses, y tres (3) años.</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ochenta (80) a ciento ochenta (180) meses de prisión y multa de ciento treinta y cuatro (134) a setecientos cincuenta (750) salarios mínimos legales mensuales vigentes, cuando la conducta se realice con fines terroristas o en contra de miembros de la fuerza pública.</w:t>
      </w:r>
    </w:p>
    <w:p w:rsidR="00704C86" w:rsidRPr="00414BF5" w:rsidRDefault="00704C86" w:rsidP="001D163D">
      <w:pPr>
        <w:spacing w:after="0" w:line="240" w:lineRule="auto"/>
        <w:jc w:val="both"/>
        <w:rPr>
          <w:rFonts w:ascii="Arial" w:eastAsia="Calibri" w:hAnsi="Arial" w:cs="Arial"/>
          <w:sz w:val="24"/>
          <w:szCs w:val="24"/>
          <w:lang w:val="es-CO"/>
        </w:rPr>
      </w:pPr>
    </w:p>
    <w:p w:rsidR="00704C86" w:rsidRPr="00414BF5" w:rsidRDefault="00704C86" w:rsidP="001D163D">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 aumentará de una tercera parte a la mitad cuando el objeto lanzado corresponda a artefactos explosivos, elementos incendiarios, o sustancias químicas que pongan en riesgo la vida, la integridad personal o los bienes.</w:t>
      </w:r>
    </w:p>
    <w:p w:rsidR="00704C86" w:rsidRPr="00414BF5" w:rsidRDefault="00704C86" w:rsidP="00704C86">
      <w:pPr>
        <w:spacing w:after="0" w:line="240" w:lineRule="auto"/>
        <w:ind w:left="708"/>
        <w:jc w:val="both"/>
        <w:rPr>
          <w:rFonts w:ascii="Arial" w:eastAsia="Calibri" w:hAnsi="Arial" w:cs="Arial"/>
          <w:sz w:val="24"/>
          <w:szCs w:val="24"/>
          <w:lang w:val="es-ES_tradnl"/>
        </w:rPr>
      </w:pPr>
    </w:p>
    <w:p w:rsidR="00704C86" w:rsidRPr="00414BF5" w:rsidRDefault="00704C86" w:rsidP="00704C86">
      <w:pPr>
        <w:spacing w:after="0" w:line="240" w:lineRule="auto"/>
        <w:ind w:left="708"/>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10. Modifíquese el artículo 417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417. </w:t>
      </w:r>
      <w:r w:rsidRPr="00414BF5">
        <w:rPr>
          <w:rFonts w:ascii="Arial" w:eastAsia="Calibri" w:hAnsi="Arial" w:cs="Arial"/>
          <w:b/>
          <w:bCs/>
          <w:i/>
          <w:iCs/>
          <w:sz w:val="24"/>
          <w:szCs w:val="24"/>
          <w:lang w:val="es-ES_tradnl"/>
        </w:rPr>
        <w:t>Abuso de autoridad por omisión de denuncia.</w:t>
      </w:r>
      <w:r w:rsidRPr="00414BF5">
        <w:rPr>
          <w:rFonts w:ascii="Arial" w:eastAsia="Calibri" w:hAnsi="Arial" w:cs="Arial"/>
          <w:b/>
          <w:bCs/>
          <w:sz w:val="24"/>
          <w:szCs w:val="24"/>
          <w:lang w:val="es-ES_tradnl"/>
        </w:rPr>
        <w:t> </w:t>
      </w:r>
      <w:r w:rsidRPr="00414BF5">
        <w:rPr>
          <w:rFonts w:ascii="Arial" w:eastAsia="Calibri" w:hAnsi="Arial" w:cs="Arial"/>
          <w:sz w:val="24"/>
          <w:szCs w:val="24"/>
          <w:lang w:val="es-ES_tradnl"/>
        </w:rPr>
        <w:t>El servidor público que teniendo conocimiento de la comisión de una de las conductas punibles contempladas en el delito de omisión de denuncia de particular, no dé cuenta a la autoridad, incurrirá en denuncia de particular, no dé cuenta la autoridad, incurrirá en prisión de treinta y dos (32) a setenta y dos (72) meses.</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 Modifíquese el artículo 418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418. </w:t>
      </w:r>
      <w:r w:rsidRPr="00414BF5">
        <w:rPr>
          <w:rFonts w:ascii="Arial" w:eastAsia="Calibri" w:hAnsi="Arial" w:cs="Arial"/>
          <w:b/>
          <w:bCs/>
          <w:i/>
          <w:iCs/>
          <w:sz w:val="24"/>
          <w:szCs w:val="24"/>
          <w:lang w:val="es-ES_tradnl"/>
        </w:rPr>
        <w:t>Revelación de Secreto</w:t>
      </w:r>
      <w:r w:rsidRPr="00414BF5">
        <w:rPr>
          <w:rFonts w:ascii="Arial" w:eastAsia="Calibri" w:hAnsi="Arial" w:cs="Arial"/>
          <w:b/>
          <w:bCs/>
          <w:sz w:val="24"/>
          <w:szCs w:val="24"/>
          <w:lang w:val="es-ES_tradnl"/>
        </w:rPr>
        <w:t>. </w:t>
      </w:r>
      <w:r w:rsidRPr="00414BF5">
        <w:rPr>
          <w:rFonts w:ascii="Arial" w:eastAsia="Calibri" w:hAnsi="Arial" w:cs="Arial"/>
          <w:sz w:val="24"/>
          <w:szCs w:val="24"/>
          <w:lang w:val="es-ES_tradnl"/>
        </w:rPr>
        <w:t>El servidor público que indebidamente dé a conocer documento o noticia que deba mantener en secreto o reserva, incurrirá en prisión de dieciséis (16) a cincuenta y cuatro (54) meses, multa de veinte (20) a noventa (90) salarios mínimos legales mensuales vigentes e inhabilitación para el ejercicio de derechos y funciones públicas por sesenta (60) meses, si de la conducta resultare perjuicio.</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w:t>
      </w:r>
      <w:r w:rsidRPr="00414BF5">
        <w:rPr>
          <w:rFonts w:ascii="Arial" w:eastAsia="Calibri" w:hAnsi="Arial" w:cs="Arial"/>
          <w:b/>
          <w:bCs/>
          <w:sz w:val="24"/>
          <w:szCs w:val="24"/>
          <w:lang w:val="es-ES_tradnl"/>
        </w:rPr>
        <w:t> </w:t>
      </w:r>
      <w:r w:rsidRPr="00414BF5">
        <w:rPr>
          <w:rFonts w:ascii="Arial" w:eastAsia="Calibri" w:hAnsi="Arial" w:cs="Arial"/>
          <w:sz w:val="24"/>
          <w:szCs w:val="24"/>
          <w:lang w:val="es-ES_tradnl"/>
        </w:rPr>
        <w:t>Modifíquese el artículo 421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421. </w:t>
      </w:r>
      <w:r w:rsidRPr="00414BF5">
        <w:rPr>
          <w:rFonts w:ascii="Arial" w:eastAsia="Calibri" w:hAnsi="Arial" w:cs="Arial"/>
          <w:b/>
          <w:bCs/>
          <w:i/>
          <w:iCs/>
          <w:sz w:val="24"/>
          <w:szCs w:val="24"/>
          <w:lang w:val="es-ES_tradnl"/>
        </w:rPr>
        <w:t>Asesoramiento y otras actuaciones ilegales.</w:t>
      </w:r>
      <w:r w:rsidRPr="00414BF5">
        <w:rPr>
          <w:rFonts w:ascii="Arial" w:eastAsia="Calibri" w:hAnsi="Arial" w:cs="Arial"/>
          <w:b/>
          <w:bCs/>
          <w:sz w:val="24"/>
          <w:szCs w:val="24"/>
          <w:lang w:val="es-ES_tradnl"/>
        </w:rPr>
        <w:t> </w:t>
      </w:r>
      <w:r w:rsidRPr="00414BF5">
        <w:rPr>
          <w:rFonts w:ascii="Arial" w:eastAsia="Calibri" w:hAnsi="Arial" w:cs="Arial"/>
          <w:sz w:val="24"/>
          <w:szCs w:val="24"/>
          <w:lang w:val="es-ES_tradnl"/>
        </w:rPr>
        <w:t>El servidor de la Rama Judicial o del Ministerio Público que ilegalmente represente, litigue, gestione o asesore en asunto judicial, administrativo o policivo, incurrirá en prisión de dieciséis (16) a cincuenta y cuatro (54) meses e inhabilitación para el ejercicio de derechos y funciones públicas por sesenta (60) meses.</w:t>
      </w:r>
    </w:p>
    <w:p w:rsidR="00704C86" w:rsidRPr="00414BF5" w:rsidRDefault="00704C86"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 Modifíquese el artículo 446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446. </w:t>
      </w:r>
      <w:r w:rsidRPr="00414BF5">
        <w:rPr>
          <w:rFonts w:ascii="Arial" w:eastAsia="Calibri" w:hAnsi="Arial" w:cs="Arial"/>
          <w:b/>
          <w:bCs/>
          <w:i/>
          <w:iCs/>
          <w:sz w:val="24"/>
          <w:szCs w:val="24"/>
          <w:lang w:val="es-ES_tradnl"/>
        </w:rPr>
        <w:t>Favorecimiento</w:t>
      </w:r>
      <w:r w:rsidRPr="00414BF5">
        <w:rPr>
          <w:rFonts w:ascii="Arial" w:eastAsia="Calibri" w:hAnsi="Arial" w:cs="Arial"/>
          <w:b/>
          <w:bCs/>
          <w:sz w:val="24"/>
          <w:szCs w:val="24"/>
          <w:lang w:val="es-ES_tradnl"/>
        </w:rPr>
        <w:t>.</w:t>
      </w:r>
      <w:r w:rsidRPr="00414BF5">
        <w:rPr>
          <w:rFonts w:ascii="Arial" w:eastAsia="Calibri" w:hAnsi="Arial" w:cs="Arial"/>
          <w:sz w:val="24"/>
          <w:szCs w:val="24"/>
          <w:lang w:val="es-ES_tradnl"/>
        </w:rPr>
        <w:t> El que tenga conocimiento de la comisión de la conducta punible, y sin concierto previo, ayudare a eludir la acción de la autoridad o a entorpecer la investigación correspondiente, incurrirá en prisión de dieciséis (16) a setenta y dos (72) meses.</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la conducta se realiza respecto de los delitos de genocidio, desaparición forzada, tortura, desplazamiento forzado, homicidio, extorsión, enriquecimiento ilícito, secuestro extorsivo, tráfico de drogas, estupefacientes o sustancias psicotrópicas, la pena será de sesenta y cuatro (64) a doscientos dieciséis (216) meses de prisión.</w:t>
      </w:r>
    </w:p>
    <w:p w:rsidR="00704C86" w:rsidRPr="00414BF5" w:rsidRDefault="00704C86"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 Modifíquese el artículo 450 de la Ley 599 de 2000, el cual quedará así:</w:t>
      </w: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450. </w:t>
      </w:r>
      <w:r w:rsidRPr="00414BF5">
        <w:rPr>
          <w:rFonts w:ascii="Arial" w:eastAsia="Calibri" w:hAnsi="Arial" w:cs="Arial"/>
          <w:b/>
          <w:bCs/>
          <w:i/>
          <w:iCs/>
          <w:sz w:val="24"/>
          <w:szCs w:val="24"/>
          <w:lang w:val="es-ES_tradnl"/>
        </w:rPr>
        <w:t>Modalidad culposa</w:t>
      </w:r>
      <w:r w:rsidRPr="00414BF5">
        <w:rPr>
          <w:rFonts w:ascii="Arial" w:eastAsia="Calibri" w:hAnsi="Arial" w:cs="Arial"/>
          <w:sz w:val="24"/>
          <w:szCs w:val="24"/>
          <w:lang w:val="es-ES_tradnl"/>
        </w:rPr>
        <w:t>. El servidor público encargado de la vigilancia, custodia o conducción de un detenido o condenado por los delitos de genocidio, homicidio, desplazamiento forzado, tortura, desaparición forzada, secuestro, secuestro Extorsivo, extorsión, terrorismo, concierto para delinquir, narcotráfico, enriquecimiento ilícito, lavado de activos, o cualquiera de las conductas contempladas en el Título II de este Libro, que por culpa dé lugar a su fuga, incurrirá en prisión de treinta y dos (32) a setenta y dos (72) meses.</w:t>
      </w:r>
    </w:p>
    <w:p w:rsidR="00704C86" w:rsidRPr="00414BF5" w:rsidRDefault="00704C86"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15. La Ley 599 de 2000 tendrá un nuevo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LIBRO TERCERO</w:t>
      </w: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PARTE ESPECIAL</w:t>
      </w:r>
    </w:p>
    <w:p w:rsidR="00704C86" w:rsidRPr="00414BF5" w:rsidRDefault="00704C86" w:rsidP="00224F3A">
      <w:pPr>
        <w:spacing w:after="0" w:line="240" w:lineRule="auto"/>
        <w:jc w:val="center"/>
        <w:rPr>
          <w:rFonts w:ascii="Arial" w:eastAsia="Calibri" w:hAnsi="Arial" w:cs="Arial"/>
          <w:b/>
          <w:bCs/>
          <w:sz w:val="24"/>
          <w:szCs w:val="24"/>
          <w:lang w:val="es-ES_tradnl"/>
        </w:rPr>
      </w:pPr>
      <w:r w:rsidRPr="00414BF5">
        <w:rPr>
          <w:rFonts w:ascii="Arial" w:eastAsia="Calibri" w:hAnsi="Arial" w:cs="Arial"/>
          <w:b/>
          <w:bCs/>
          <w:sz w:val="24"/>
          <w:szCs w:val="24"/>
          <w:lang w:val="es-ES_tradnl"/>
        </w:rPr>
        <w:t>De la</w:t>
      </w:r>
      <w:r w:rsidR="00224F3A" w:rsidRPr="00414BF5">
        <w:rPr>
          <w:rFonts w:ascii="Arial" w:eastAsia="Calibri" w:hAnsi="Arial" w:cs="Arial"/>
          <w:b/>
          <w:bCs/>
          <w:sz w:val="24"/>
          <w:szCs w:val="24"/>
          <w:lang w:val="es-ES_tradnl"/>
        </w:rPr>
        <w:t>s contravenciones en particular</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16. La Ley 599 de 2000 tendrá un nuevo Título I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w:t>
      </w:r>
      <w:r w:rsidR="00224F3A" w:rsidRPr="00414BF5">
        <w:rPr>
          <w:rFonts w:ascii="Arial" w:eastAsia="Calibri" w:hAnsi="Arial" w:cs="Arial"/>
          <w:sz w:val="24"/>
          <w:szCs w:val="24"/>
          <w:lang w:val="es-ES_tradnl"/>
        </w:rPr>
        <w:t>A LA VIDA E INTEGRIDAD PERSONAL</w:t>
      </w:r>
    </w:p>
    <w:p w:rsidR="00224F3A" w:rsidRPr="00414BF5" w:rsidRDefault="00224F3A" w:rsidP="00704C86">
      <w:pPr>
        <w:spacing w:after="0" w:line="240" w:lineRule="auto"/>
        <w:jc w:val="both"/>
        <w:rPr>
          <w:rFonts w:ascii="Arial" w:eastAsia="Calibri" w:hAnsi="Arial" w:cs="Arial"/>
          <w:sz w:val="24"/>
          <w:szCs w:val="24"/>
          <w:lang w:val="es-CO"/>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17. La Ley 599 de 2000 tendrá un nuevo artículo 477,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477. </w:t>
      </w:r>
      <w:r w:rsidRPr="00414BF5">
        <w:rPr>
          <w:rFonts w:ascii="Arial" w:eastAsia="Calibri" w:hAnsi="Arial" w:cs="Arial"/>
          <w:b/>
          <w:bCs/>
          <w:i/>
          <w:iCs/>
          <w:sz w:val="24"/>
          <w:szCs w:val="24"/>
          <w:lang w:val="es-ES_tradnl"/>
        </w:rPr>
        <w:t>Inducción o ayuda al suicidio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eficazmente induzca a otro al suicidio, o le preste una ayuda efectiva para su realización, incurrirá en prisión de treinta y dos (32) a ciento ocho (108) meses.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la inducción o ayuda esté dirigida a poner fin a intensos sufrimientos provenientes de lesión corporal o enfermedad grave e incurable, se incurrirá en prisión de dieciséis (</w:t>
      </w:r>
      <w:r w:rsidR="00224F3A" w:rsidRPr="00414BF5">
        <w:rPr>
          <w:rFonts w:ascii="Arial" w:eastAsia="Calibri" w:hAnsi="Arial" w:cs="Arial"/>
          <w:sz w:val="24"/>
          <w:szCs w:val="24"/>
          <w:lang w:val="es-ES_tradnl"/>
        </w:rPr>
        <w:t>16) a treinta y seis (36) meses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18. La Ley 599 de 2000 tendrá un nuevo artículo 448,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448. </w:t>
      </w:r>
      <w:r w:rsidRPr="00414BF5">
        <w:rPr>
          <w:rFonts w:ascii="Arial" w:eastAsia="Calibri" w:hAnsi="Arial" w:cs="Arial"/>
          <w:b/>
          <w:bCs/>
          <w:i/>
          <w:iCs/>
          <w:sz w:val="24"/>
          <w:szCs w:val="24"/>
          <w:lang w:val="es-ES_tradnl"/>
        </w:rPr>
        <w:t>Lesiones personales contravencionales</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cause a otro daño en el cuerpo o en la salud que produjere incapacidad para trabajar o enfermedad que no pase de treinta (30) días, incurrirá en prisión de dieciséis (16) a treinta y seis (36) meses.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daño consistiere en incapacidad para trabajar o enfermedad superior a treinta (30) días sin exceder de noventa (90), la pena será de dieciséis (16) a cincuenta y cuatro (54) meses de prisión y multa de seis punto sesenta y seis (6.66) a quince (15)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daño consistiere en deformidad física transitoria, la pena será de prisión de dieciséis (16) a ciento ocho (108) meses y multa de veinte (20) a treinta y siete punto cinco (37.5) salarios mínimos legales mensuales vigentes. Si la deformidad afectare el rostro, la pena se aumentará desde una tercera parte hasta la mitad.</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daño consistiere en perturbación funcional transitoria de un órgano o miembro, la pena será de prisión de treinta y dos (32) a ciento veintiséis (126) meses y multa de veinte (20) a treinta y siete punto cinco (37.5)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como consecuencia de la conducta se produjeren varios de los resultados previstos en los incisos anteriores, solo se aplicará la pena corre</w:t>
      </w:r>
      <w:r w:rsidR="00224F3A" w:rsidRPr="00414BF5">
        <w:rPr>
          <w:rFonts w:ascii="Arial" w:eastAsia="Calibri" w:hAnsi="Arial" w:cs="Arial"/>
          <w:sz w:val="24"/>
          <w:szCs w:val="24"/>
          <w:lang w:val="es-ES_tradnl"/>
        </w:rPr>
        <w:t>spondiente al de mayor gravedad</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19. La Ley 599 de 2000 tendrá un nuevo artículo 449,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449. Parto o aborto preterintencional.</w:t>
      </w:r>
      <w:r w:rsidRPr="00414BF5">
        <w:rPr>
          <w:rFonts w:ascii="Arial" w:eastAsia="Calibri" w:hAnsi="Arial" w:cs="Arial"/>
          <w:sz w:val="24"/>
          <w:szCs w:val="24"/>
          <w:lang w:val="es-ES_tradnl"/>
        </w:rPr>
        <w:t xml:space="preserve"> El que cause a una mujer una lesión como consecuencia de la cual le sobreviniere parto prematuro que tenga consecuencias nocivas para la salud de la agredida o de la criatura, o le sobreviniere el aborto, incurrirá en las penas señaladas para cada clase de lesión en los artículos 112, 113, 114, 115, 116 y 448 de este código, aumentadas </w:t>
      </w:r>
      <w:r w:rsidR="00224F3A" w:rsidRPr="00414BF5">
        <w:rPr>
          <w:rFonts w:ascii="Arial" w:eastAsia="Calibri" w:hAnsi="Arial" w:cs="Arial"/>
          <w:sz w:val="24"/>
          <w:szCs w:val="24"/>
          <w:lang w:val="es-ES_tradnl"/>
        </w:rPr>
        <w:t>de una tercera parte a la mitad</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20. La Ley 599 de 2000 tendrá un nuevo artículo 550,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550. </w:t>
      </w:r>
      <w:r w:rsidRPr="00414BF5">
        <w:rPr>
          <w:rFonts w:ascii="Arial" w:eastAsia="Calibri" w:hAnsi="Arial" w:cs="Arial"/>
          <w:b/>
          <w:bCs/>
          <w:i/>
          <w:iCs/>
          <w:sz w:val="24"/>
          <w:szCs w:val="24"/>
          <w:lang w:val="es-ES_tradnl"/>
        </w:rPr>
        <w:t>Circunstancias de agravación punitiva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Cuando con las conductas descritas en los artículos anteriores, concurra alguna de las circunstancias señaladas en el artículo 104 de este código las respectivas penas se aumentarán de una tercera parte a la mitad.</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 xml:space="preserve">Cuando las conductas señaladas en los artículos anteriores se cometan en niños o niñas menores de catorce (14) años o en mujer por el hecho de ser mujer, las respectivas </w:t>
      </w:r>
      <w:r w:rsidR="00224F3A" w:rsidRPr="00414BF5">
        <w:rPr>
          <w:rFonts w:ascii="Arial" w:eastAsia="Calibri" w:hAnsi="Arial" w:cs="Arial"/>
          <w:sz w:val="24"/>
          <w:szCs w:val="24"/>
          <w:lang w:val="es-ES_tradnl"/>
        </w:rPr>
        <w:t>penas se aumentarán en el doble</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21. La Ley 599 de 2000 tendrá un nuevo artículo 551,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551. </w:t>
      </w:r>
      <w:r w:rsidRPr="00414BF5">
        <w:rPr>
          <w:rFonts w:ascii="Arial" w:eastAsia="Calibri" w:hAnsi="Arial" w:cs="Arial"/>
          <w:b/>
          <w:bCs/>
          <w:i/>
          <w:iCs/>
          <w:sz w:val="24"/>
          <w:szCs w:val="24"/>
          <w:lang w:val="es-ES_tradnl"/>
        </w:rPr>
        <w:t>Lesiones contravencionales culposas</w:t>
      </w:r>
      <w:r w:rsidRPr="00414BF5">
        <w:rPr>
          <w:rFonts w:ascii="Arial" w:eastAsia="Calibri" w:hAnsi="Arial" w:cs="Arial"/>
          <w:sz w:val="24"/>
          <w:szCs w:val="24"/>
          <w:lang w:val="es-ES_tradnl"/>
        </w:rPr>
        <w:t>. El que por culpa cause a otro alguna de las lesiones a que se refiere el Capítulo Tercero del Título I del Libro Segundo o el artículo 448 de este código, incurrirá en la respectiva pena disminuida de las cuatro quintas a las tres cuartas partes.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la conducta culposa sea cometida utilizando medios motorizados o arma de fuego se impondrá igualmente la pena de privación del derecho de conducir vehículos automotores y motocicletas y de privación del derecho a la tenencia y porte de arma, respectivamente, de dieciséis (16) a cincuenta y cuatro (54) meses.</w:t>
      </w:r>
    </w:p>
    <w:p w:rsidR="00224F3A" w:rsidRPr="00414BF5" w:rsidRDefault="00224F3A" w:rsidP="00704C86">
      <w:pPr>
        <w:spacing w:after="0" w:line="240" w:lineRule="auto"/>
        <w:jc w:val="both"/>
        <w:rPr>
          <w:rFonts w:ascii="Arial" w:eastAsia="Calibri" w:hAnsi="Arial" w:cs="Arial"/>
          <w:sz w:val="24"/>
          <w:szCs w:val="24"/>
          <w:lang w:val="es-CO"/>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22. La Ley 599 de 2000 tendrá un nuevo artículo 552,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552. </w:t>
      </w:r>
      <w:r w:rsidRPr="00414BF5">
        <w:rPr>
          <w:rFonts w:ascii="Arial" w:eastAsia="Calibri" w:hAnsi="Arial" w:cs="Arial"/>
          <w:b/>
          <w:bCs/>
          <w:i/>
          <w:iCs/>
          <w:sz w:val="24"/>
          <w:szCs w:val="24"/>
          <w:lang w:val="es-ES_tradnl"/>
        </w:rPr>
        <w:t>Circunstancias de agravación punitiva por lesiones contravencionales culposas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Las circunstancias de agravación previstas en el artículo 110, lo serán también de las lesiones contravencionales culposas y las penas previstas para estas conductas se aumentarán en la prop</w:t>
      </w:r>
      <w:r w:rsidR="00224F3A" w:rsidRPr="00414BF5">
        <w:rPr>
          <w:rFonts w:ascii="Arial" w:eastAsia="Calibri" w:hAnsi="Arial" w:cs="Arial"/>
          <w:sz w:val="24"/>
          <w:szCs w:val="24"/>
          <w:lang w:val="es-ES_tradnl"/>
        </w:rPr>
        <w:t>orción indicada en ese artículo</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23. La Ley 599 de 2000 tendrá un nuevo artículo 553,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553. </w:t>
      </w:r>
      <w:r w:rsidRPr="00414BF5">
        <w:rPr>
          <w:rFonts w:ascii="Arial" w:eastAsia="Calibri" w:hAnsi="Arial" w:cs="Arial"/>
          <w:b/>
          <w:bCs/>
          <w:i/>
          <w:iCs/>
          <w:sz w:val="24"/>
          <w:szCs w:val="24"/>
          <w:lang w:val="es-ES_tradnl"/>
        </w:rPr>
        <w:t>Omisión de socorro</w:t>
      </w:r>
      <w:r w:rsidRPr="00414BF5">
        <w:rPr>
          <w:rFonts w:ascii="Arial" w:eastAsia="Calibri" w:hAnsi="Arial" w:cs="Arial"/>
          <w:sz w:val="24"/>
          <w:szCs w:val="24"/>
          <w:lang w:val="es-ES_tradnl"/>
        </w:rPr>
        <w:t xml:space="preserve">. El que omitiere, sin justa causa, auxiliar a una persona cuya vida o salud se encontrare en grave peligro, incurrirá en prisión de treinta y dos </w:t>
      </w:r>
      <w:r w:rsidR="00224F3A" w:rsidRPr="00414BF5">
        <w:rPr>
          <w:rFonts w:ascii="Arial" w:eastAsia="Calibri" w:hAnsi="Arial" w:cs="Arial"/>
          <w:sz w:val="24"/>
          <w:szCs w:val="24"/>
          <w:lang w:val="es-ES_tradnl"/>
        </w:rPr>
        <w:t>(32) a setenta y dos (72) meses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24. La Ley 599 de 2000 tendrá un nuevo Título II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II</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LA INVIOLABILIDAD D</w:t>
      </w:r>
      <w:r w:rsidR="00224F3A" w:rsidRPr="00414BF5">
        <w:rPr>
          <w:rFonts w:ascii="Arial" w:eastAsia="Calibri" w:hAnsi="Arial" w:cs="Arial"/>
          <w:sz w:val="24"/>
          <w:szCs w:val="24"/>
          <w:lang w:val="es-ES_tradnl"/>
        </w:rPr>
        <w:t>E HABITACIÓN O SITIO DE TRABAJO</w:t>
      </w:r>
    </w:p>
    <w:p w:rsidR="00224F3A" w:rsidRPr="00414BF5" w:rsidRDefault="00224F3A" w:rsidP="00224F3A">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25. La Ley 599 de 2000 tendrá un nuevo artículo 554,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554</w:t>
      </w:r>
      <w:r w:rsidRPr="00414BF5">
        <w:rPr>
          <w:rFonts w:ascii="Arial" w:eastAsia="Calibri" w:hAnsi="Arial" w:cs="Arial"/>
          <w:b/>
          <w:bCs/>
          <w:i/>
          <w:iCs/>
          <w:sz w:val="24"/>
          <w:szCs w:val="24"/>
          <w:lang w:val="es-ES_tradnl"/>
        </w:rPr>
        <w:t>. Violación de habitación ajena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 xml:space="preserve">El que se introduzca arbitraria, engañosa o clandestinamente en habitación ajena o en sus dependencias inmediatas, o que por </w:t>
      </w:r>
      <w:r w:rsidRPr="00414BF5">
        <w:rPr>
          <w:rFonts w:ascii="Arial" w:eastAsia="Calibri" w:hAnsi="Arial" w:cs="Arial"/>
          <w:sz w:val="24"/>
          <w:szCs w:val="24"/>
          <w:lang w:val="es-ES_tradnl"/>
        </w:rPr>
        <w:lastRenderedPageBreak/>
        <w:t>cualquier medio indebido, escuche, observe, grabe, fotografíe o filme, aspectos de la vida domiciliaria de su</w:t>
      </w:r>
      <w:r w:rsidR="00224F3A" w:rsidRPr="00414BF5">
        <w:rPr>
          <w:rFonts w:ascii="Arial" w:eastAsia="Calibri" w:hAnsi="Arial" w:cs="Arial"/>
          <w:sz w:val="24"/>
          <w:szCs w:val="24"/>
          <w:lang w:val="es-ES_tradnl"/>
        </w:rPr>
        <w:t>s ocupantes, incurrirá en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26. La Ley 599 de 2000 tendrá un nuevo artículo 555,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555. </w:t>
      </w:r>
      <w:r w:rsidRPr="00414BF5">
        <w:rPr>
          <w:rFonts w:ascii="Arial" w:eastAsia="Calibri" w:hAnsi="Arial" w:cs="Arial"/>
          <w:b/>
          <w:bCs/>
          <w:i/>
          <w:iCs/>
          <w:sz w:val="24"/>
          <w:szCs w:val="24"/>
          <w:lang w:val="es-ES_tradnl"/>
        </w:rPr>
        <w:t>Violación de habitación ajena por servidor público</w:t>
      </w:r>
      <w:r w:rsidRPr="00414BF5">
        <w:rPr>
          <w:rFonts w:ascii="Arial" w:eastAsia="Calibri" w:hAnsi="Arial" w:cs="Arial"/>
          <w:sz w:val="24"/>
          <w:szCs w:val="24"/>
          <w:lang w:val="es-ES_tradnl"/>
        </w:rPr>
        <w:t>. El servidor público que abusando de sus funciones se introduzca en habitación ajena, incurrirá en multa y pé</w:t>
      </w:r>
      <w:r w:rsidR="00224F3A" w:rsidRPr="00414BF5">
        <w:rPr>
          <w:rFonts w:ascii="Arial" w:eastAsia="Calibri" w:hAnsi="Arial" w:cs="Arial"/>
          <w:sz w:val="24"/>
          <w:szCs w:val="24"/>
          <w:lang w:val="es-ES_tradnl"/>
        </w:rPr>
        <w:t>rdida de empleo o cargo público</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27. La Ley 599 de 2000 tendrá un nuevo artículo 556,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556. </w:t>
      </w:r>
      <w:r w:rsidRPr="00414BF5">
        <w:rPr>
          <w:rFonts w:ascii="Arial" w:eastAsia="Calibri" w:hAnsi="Arial" w:cs="Arial"/>
          <w:b/>
          <w:bCs/>
          <w:i/>
          <w:iCs/>
          <w:sz w:val="24"/>
          <w:szCs w:val="24"/>
          <w:lang w:val="es-ES_tradnl"/>
        </w:rPr>
        <w:t>Violación en lugar de trabajo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xml:space="preserve"> Cuando las conductas descritas en este capítulo se realizaren en un lugar de trabajo, las respectivas penas se disminuirán hasta en la mitad, sin que puedan </w:t>
      </w:r>
      <w:r w:rsidR="00224F3A" w:rsidRPr="00414BF5">
        <w:rPr>
          <w:rFonts w:ascii="Arial" w:eastAsia="Calibri" w:hAnsi="Arial" w:cs="Arial"/>
          <w:sz w:val="24"/>
          <w:szCs w:val="24"/>
          <w:lang w:val="es-ES_tradnl"/>
        </w:rPr>
        <w:t>ser inferior a una unidad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28. La Ley 599 de 2000 tendrá un nuevo Título III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III</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LA INTIMIDAD, RESERVA E INTERCEPTACIÓN DE COMUNICACIONES</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29. La Ley 599 de 2000 tendrá un nuevo artículo 557,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557.</w:t>
      </w:r>
      <w:r w:rsidRPr="00414BF5">
        <w:rPr>
          <w:rFonts w:ascii="Arial" w:eastAsia="Calibri" w:hAnsi="Arial" w:cs="Arial"/>
          <w:b/>
          <w:bCs/>
          <w:i/>
          <w:iCs/>
          <w:sz w:val="24"/>
          <w:szCs w:val="24"/>
          <w:lang w:val="es-ES_tradnl"/>
        </w:rPr>
        <w:t> Ofrecimiento, venta o compra de instrumento apto para interceptar la comunicación privada entre personas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sin permiso de autoridad competente, ofrezca, venda o compre instrumentos aptos para interceptar la comunicación privada entre personas, incurrirá en multa, siempre que la conducta no constituya d</w:t>
      </w:r>
      <w:r w:rsidR="00224F3A" w:rsidRPr="00414BF5">
        <w:rPr>
          <w:rFonts w:ascii="Arial" w:eastAsia="Calibri" w:hAnsi="Arial" w:cs="Arial"/>
          <w:sz w:val="24"/>
          <w:szCs w:val="24"/>
          <w:lang w:val="es-ES_tradnl"/>
        </w:rPr>
        <w:t>elito sancionado con pena mayor</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30. La Ley 599 de 2000 tendrá un nuevo artículo 558,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558. Divulgación y empleo de documentos reservados</w:t>
      </w:r>
      <w:r w:rsidRPr="00414BF5">
        <w:rPr>
          <w:rFonts w:ascii="Arial" w:eastAsia="Calibri" w:hAnsi="Arial" w:cs="Arial"/>
          <w:sz w:val="24"/>
          <w:szCs w:val="24"/>
          <w:lang w:val="es-ES_tradnl"/>
        </w:rPr>
        <w:t>. El que en provecho propio o ajeno o con perjuicio de otro divulgue o emplee el contenido de un documento que deba permanecer en reserva, incurrirá en multa, siempre que la conducta no constituya d</w:t>
      </w:r>
      <w:r w:rsidR="00224F3A" w:rsidRPr="00414BF5">
        <w:rPr>
          <w:rFonts w:ascii="Arial" w:eastAsia="Calibri" w:hAnsi="Arial" w:cs="Arial"/>
          <w:sz w:val="24"/>
          <w:szCs w:val="24"/>
          <w:lang w:val="es-ES_tradnl"/>
        </w:rPr>
        <w:t>elito sancionado con pena mayor</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31. La Ley 599 de 2000 tendrá un nuevo Título IV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IV</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LA LIBERTAD DE TRABAJO Y ASOCIACI</w:t>
      </w:r>
      <w:r w:rsidR="00224F3A" w:rsidRPr="00414BF5">
        <w:rPr>
          <w:rFonts w:ascii="Arial" w:eastAsia="Calibri" w:hAnsi="Arial" w:cs="Arial"/>
          <w:sz w:val="24"/>
          <w:szCs w:val="24"/>
          <w:lang w:val="es-ES_tradnl"/>
        </w:rPr>
        <w:t>ÓN</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32. La Ley 599 de 2000 tendrá un nuevo artículo 559,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b/>
          <w:bCs/>
          <w:sz w:val="24"/>
          <w:szCs w:val="24"/>
          <w:lang w:val="es-ES_tradnl"/>
        </w:rPr>
        <w:t>Artículo 559. </w:t>
      </w:r>
      <w:r w:rsidRPr="00414BF5">
        <w:rPr>
          <w:rFonts w:ascii="Arial" w:eastAsia="Calibri" w:hAnsi="Arial" w:cs="Arial"/>
          <w:b/>
          <w:bCs/>
          <w:i/>
          <w:iCs/>
          <w:sz w:val="24"/>
          <w:szCs w:val="24"/>
          <w:lang w:val="es-ES_tradnl"/>
        </w:rPr>
        <w:t>Violación de la libertad de trabajo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mediante violencia o maniobra engañosa logre el retiro de operarios o trabajadores de los establecimientos donde laboran, o por los mismos medios perturbe o impida el libre ejercicio de la actividad de cualquier persona, incurrirá en multa.</w:t>
      </w: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como consecuencia de la conducta descrita en el inciso anterior sobreviniere la suspensión o cesación colectiva del trabajo, la pena se aumentará hasta en una tercera parte, sin sobrepas</w:t>
      </w:r>
      <w:r w:rsidR="00224F3A" w:rsidRPr="00414BF5">
        <w:rPr>
          <w:rFonts w:ascii="Arial" w:eastAsia="Calibri" w:hAnsi="Arial" w:cs="Arial"/>
          <w:sz w:val="24"/>
          <w:szCs w:val="24"/>
          <w:lang w:val="es-ES_tradnl"/>
        </w:rPr>
        <w:t>ar las diez (10) unidades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Artículo 33. La Ley 599 de 2000 tendrá un nuevo artículo </w:t>
      </w:r>
      <w:r w:rsidR="00F359D8" w:rsidRPr="004C22C2">
        <w:rPr>
          <w:rFonts w:ascii="Arial" w:eastAsia="Calibri" w:hAnsi="Arial" w:cs="Arial"/>
          <w:sz w:val="24"/>
          <w:szCs w:val="24"/>
          <w:lang w:val="es-ES_tradnl"/>
        </w:rPr>
        <w:t>559-A</w:t>
      </w:r>
      <w:r w:rsidRPr="004C22C2">
        <w:rPr>
          <w:rFonts w:ascii="Arial" w:eastAsia="Calibri" w:hAnsi="Arial" w:cs="Arial"/>
          <w:sz w:val="24"/>
          <w:szCs w:val="24"/>
          <w:lang w:val="es-ES_tradnl"/>
        </w:rPr>
        <w:t>, así:</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359D8" w:rsidRPr="004C22C2">
        <w:rPr>
          <w:rFonts w:ascii="Arial" w:eastAsia="Calibri" w:hAnsi="Arial" w:cs="Arial"/>
          <w:b/>
          <w:bCs/>
          <w:sz w:val="24"/>
          <w:szCs w:val="24"/>
          <w:lang w:val="es-ES_tradnl"/>
        </w:rPr>
        <w:t>559-A</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Violación de los derechos de reunión y asociación.</w:t>
      </w:r>
      <w:r w:rsidRPr="004C22C2">
        <w:rPr>
          <w:rFonts w:ascii="Arial" w:eastAsia="Calibri" w:hAnsi="Arial" w:cs="Arial"/>
          <w:b/>
          <w:bCs/>
          <w:sz w:val="24"/>
          <w:szCs w:val="24"/>
          <w:lang w:val="es-ES_tradnl"/>
        </w:rPr>
        <w:t> </w:t>
      </w:r>
      <w:r w:rsidRPr="004C22C2">
        <w:rPr>
          <w:rFonts w:ascii="Arial" w:eastAsia="Calibri" w:hAnsi="Arial" w:cs="Arial"/>
          <w:sz w:val="24"/>
          <w:szCs w:val="24"/>
          <w:lang w:val="es-ES_tradnl"/>
        </w:rPr>
        <w:t>El que impida o perturbe una reunión lícita o ejercicio de los derechos que conceden las leyes laborales o tome represalias con motivo de huelga, reunión o asociación legítimas, incurrirá en pena de prisión de uno (1) a dos (2) años y multa de cien (100) a trescientos (300) salarios mínimos legales mensuales vigentes.</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CO"/>
        </w:rPr>
      </w:pPr>
      <w:r w:rsidRPr="004C22C2">
        <w:rPr>
          <w:rFonts w:ascii="Arial" w:eastAsia="Calibri" w:hAnsi="Arial" w:cs="Arial"/>
          <w:sz w:val="24"/>
          <w:szCs w:val="24"/>
          <w:lang w:val="es-ES_tradnl"/>
        </w:rPr>
        <w:t>En la misma pena incurrirá el que celebre pactos colectivos en los que, en su conjunto, se otorguen mejores condiciones a los trabajadores no sindicalizados, respecto de aquellas condiciones convenidas en convenciones colectivas con los trabajadores sindicalizados de una misma empresa.</w:t>
      </w: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La pena de prisión será de tres (3) a cinco (5) años y multa de trescientos (300) a quinientos (500) salarios mínimos legales mensuales vigentes si la conducta descrita en el inciso primero se cometiere:</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224F3A">
      <w:pPr>
        <w:pStyle w:val="Prrafodelista"/>
        <w:numPr>
          <w:ilvl w:val="0"/>
          <w:numId w:val="30"/>
        </w:num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Colocando al empleado en situación de indefensión o que ponga en peligro su integridad personal.</w:t>
      </w:r>
    </w:p>
    <w:p w:rsidR="00224F3A" w:rsidRPr="004C22C2" w:rsidRDefault="00224F3A" w:rsidP="00224F3A">
      <w:pPr>
        <w:pStyle w:val="Prrafodelista"/>
        <w:spacing w:after="0" w:line="240" w:lineRule="auto"/>
        <w:jc w:val="both"/>
        <w:rPr>
          <w:rFonts w:ascii="Arial" w:eastAsia="Calibri" w:hAnsi="Arial" w:cs="Arial"/>
          <w:sz w:val="24"/>
          <w:szCs w:val="24"/>
          <w:lang w:val="es-CO"/>
        </w:rPr>
      </w:pPr>
    </w:p>
    <w:p w:rsidR="00704C86" w:rsidRPr="004C22C2" w:rsidRDefault="00704C86" w:rsidP="00224F3A">
      <w:pPr>
        <w:pStyle w:val="Prrafodelista"/>
        <w:numPr>
          <w:ilvl w:val="0"/>
          <w:numId w:val="30"/>
        </w:num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La conducta se cometa en persona discapacitada, que padezca enfermedad grave o sobre mujer embarazada.</w:t>
      </w:r>
    </w:p>
    <w:p w:rsidR="00224F3A" w:rsidRPr="004C22C2" w:rsidRDefault="00224F3A" w:rsidP="00224F3A">
      <w:pPr>
        <w:spacing w:after="0" w:line="240" w:lineRule="auto"/>
        <w:jc w:val="both"/>
        <w:rPr>
          <w:rFonts w:ascii="Arial" w:eastAsia="Calibri" w:hAnsi="Arial" w:cs="Arial"/>
          <w:sz w:val="24"/>
          <w:szCs w:val="24"/>
          <w:lang w:val="es-CO"/>
        </w:rPr>
      </w:pPr>
    </w:p>
    <w:p w:rsidR="00704C86" w:rsidRPr="004C22C2" w:rsidRDefault="00704C86" w:rsidP="00224F3A">
      <w:pPr>
        <w:pStyle w:val="Prrafodelista"/>
        <w:numPr>
          <w:ilvl w:val="0"/>
          <w:numId w:val="30"/>
        </w:num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Mediante la amenaza de causar la muerte, lesiones personales, daño en bien ajeno o al trabajador o a sus ascendientes, descendientes, cónyuge, compañero o compañera permanente, hermano, adoptante o adoptivo o pariente hasta el segundo grado de afinidad.</w:t>
      </w:r>
    </w:p>
    <w:p w:rsidR="00224F3A" w:rsidRPr="004C22C2" w:rsidRDefault="00224F3A" w:rsidP="00224F3A">
      <w:pPr>
        <w:spacing w:after="0" w:line="240" w:lineRule="auto"/>
        <w:jc w:val="both"/>
        <w:rPr>
          <w:rFonts w:ascii="Arial" w:eastAsia="Calibri" w:hAnsi="Arial" w:cs="Arial"/>
          <w:sz w:val="24"/>
          <w:szCs w:val="24"/>
          <w:lang w:val="es-CO"/>
        </w:rPr>
      </w:pPr>
    </w:p>
    <w:p w:rsidR="00704C86" w:rsidRPr="004C22C2" w:rsidRDefault="00704C86" w:rsidP="00224F3A">
      <w:pPr>
        <w:pStyle w:val="Prrafodelista"/>
        <w:numPr>
          <w:ilvl w:val="0"/>
          <w:numId w:val="30"/>
        </w:num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Mediante engaño sobre el trabajador.</w:t>
      </w:r>
    </w:p>
    <w:p w:rsidR="00224F3A" w:rsidRPr="00414BF5" w:rsidRDefault="00224F3A" w:rsidP="00224F3A">
      <w:pPr>
        <w:spacing w:after="0" w:line="240" w:lineRule="auto"/>
        <w:jc w:val="both"/>
        <w:rPr>
          <w:rFonts w:ascii="Arial" w:eastAsia="Calibri" w:hAnsi="Arial" w:cs="Arial"/>
          <w:sz w:val="24"/>
          <w:szCs w:val="24"/>
          <w:lang w:val="es-CO"/>
        </w:rPr>
      </w:pPr>
    </w:p>
    <w:p w:rsidR="00224F3A" w:rsidRPr="00414BF5" w:rsidRDefault="00224F3A" w:rsidP="00224F3A">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34. La Ley 599 de 2000 tendrá un nuevo Título V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V</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EL SENTIMIENTO RELIGI</w:t>
      </w:r>
      <w:r w:rsidR="00224F3A" w:rsidRPr="00414BF5">
        <w:rPr>
          <w:rFonts w:ascii="Arial" w:eastAsia="Calibri" w:hAnsi="Arial" w:cs="Arial"/>
          <w:sz w:val="24"/>
          <w:szCs w:val="24"/>
          <w:lang w:val="es-ES_tradnl"/>
        </w:rPr>
        <w:t>OSO Y EL RESPETO A LOS DIFUNTOS</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35. La Ley 599 de 2000 tendrá un nuevo artículo 560,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560. </w:t>
      </w:r>
      <w:r w:rsidRPr="00414BF5">
        <w:rPr>
          <w:rFonts w:ascii="Arial" w:eastAsia="Calibri" w:hAnsi="Arial" w:cs="Arial"/>
          <w:b/>
          <w:bCs/>
          <w:i/>
          <w:iCs/>
          <w:sz w:val="24"/>
          <w:szCs w:val="24"/>
          <w:lang w:val="es-ES_tradnl"/>
        </w:rPr>
        <w:t>Violación a la libertad religiosa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por medio de violencia obligue a otro a cumplir acto religioso, o le impida participar en ceremonia de la misma índole, incurrirá en prisión de dieciséis (</w:t>
      </w:r>
      <w:r w:rsidR="00224F3A" w:rsidRPr="00414BF5">
        <w:rPr>
          <w:rFonts w:ascii="Arial" w:eastAsia="Calibri" w:hAnsi="Arial" w:cs="Arial"/>
          <w:sz w:val="24"/>
          <w:szCs w:val="24"/>
          <w:lang w:val="es-ES_tradnl"/>
        </w:rPr>
        <w:t>16) a treinta y seis (36) meses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36. La Ley 599 de 2000 tendrá un nuevo artículo 561,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561. </w:t>
      </w:r>
      <w:r w:rsidRPr="00414BF5">
        <w:rPr>
          <w:rFonts w:ascii="Arial" w:eastAsia="Calibri" w:hAnsi="Arial" w:cs="Arial"/>
          <w:b/>
          <w:bCs/>
          <w:i/>
          <w:iCs/>
          <w:sz w:val="24"/>
          <w:szCs w:val="24"/>
          <w:lang w:val="es-ES_tradnl"/>
        </w:rPr>
        <w:t>Impedimento y perturbación de ceremonia religiosa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perturbe o impida la celebración de ceremonia o función religiosa de cualquier cult</w:t>
      </w:r>
      <w:r w:rsidR="00224F3A" w:rsidRPr="00414BF5">
        <w:rPr>
          <w:rFonts w:ascii="Arial" w:eastAsia="Calibri" w:hAnsi="Arial" w:cs="Arial"/>
          <w:sz w:val="24"/>
          <w:szCs w:val="24"/>
          <w:lang w:val="es-ES_tradnl"/>
        </w:rPr>
        <w:t>o permitido, incurrirá en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37. La Ley 599 de 2000 tendrá un nuevo artículo 562,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562. </w:t>
      </w:r>
      <w:r w:rsidRPr="00414BF5">
        <w:rPr>
          <w:rFonts w:ascii="Arial" w:eastAsia="Calibri" w:hAnsi="Arial" w:cs="Arial"/>
          <w:b/>
          <w:bCs/>
          <w:i/>
          <w:iCs/>
          <w:sz w:val="24"/>
          <w:szCs w:val="24"/>
          <w:lang w:val="es-ES_tradnl"/>
        </w:rPr>
        <w:t>Daños o agravios a personas o a cosas destinadas al culto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xml:space="preserve"> El que cause daño a los objetos destinados a un culto, o a los símbolos de cualquier religión legalmente permitida, o públicamente agravie a tales cultos o a sus miembros en razón de su </w:t>
      </w:r>
      <w:r w:rsidR="00224F3A" w:rsidRPr="00414BF5">
        <w:rPr>
          <w:rFonts w:ascii="Arial" w:eastAsia="Calibri" w:hAnsi="Arial" w:cs="Arial"/>
          <w:sz w:val="24"/>
          <w:szCs w:val="24"/>
          <w:lang w:val="es-ES_tradnl"/>
        </w:rPr>
        <w:t>investidura, incurrirá en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38. La Ley 599 de 2000 tendrá un nuevo artículo 563,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563. </w:t>
      </w:r>
      <w:r w:rsidRPr="00414BF5">
        <w:rPr>
          <w:rFonts w:ascii="Arial" w:eastAsia="Calibri" w:hAnsi="Arial" w:cs="Arial"/>
          <w:b/>
          <w:bCs/>
          <w:i/>
          <w:iCs/>
          <w:sz w:val="24"/>
          <w:szCs w:val="24"/>
          <w:lang w:val="es-ES_tradnl"/>
        </w:rPr>
        <w:t>Irrespeto a cadáveres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sustraiga el cadáver de una persona o sus restos o ejecute sobre ellos acto de irrespeto, incurrirá en multa.</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agente persigue finalidad de lucro, la pena se au</w:t>
      </w:r>
      <w:r w:rsidR="00224F3A" w:rsidRPr="00414BF5">
        <w:rPr>
          <w:rFonts w:ascii="Arial" w:eastAsia="Calibri" w:hAnsi="Arial" w:cs="Arial"/>
          <w:sz w:val="24"/>
          <w:szCs w:val="24"/>
          <w:lang w:val="es-ES_tradnl"/>
        </w:rPr>
        <w:t>mentará hasta en una tercera pa</w:t>
      </w:r>
      <w:r w:rsidRPr="00414BF5">
        <w:rPr>
          <w:rFonts w:ascii="Arial" w:eastAsia="Calibri" w:hAnsi="Arial" w:cs="Arial"/>
          <w:sz w:val="24"/>
          <w:szCs w:val="24"/>
          <w:lang w:val="es-ES_tradnl"/>
        </w:rPr>
        <w:t>rte, sin sobrepas</w:t>
      </w:r>
      <w:r w:rsidR="00224F3A" w:rsidRPr="00414BF5">
        <w:rPr>
          <w:rFonts w:ascii="Arial" w:eastAsia="Calibri" w:hAnsi="Arial" w:cs="Arial"/>
          <w:sz w:val="24"/>
          <w:szCs w:val="24"/>
          <w:lang w:val="es-ES_tradnl"/>
        </w:rPr>
        <w:t>ar las diez (10) unidades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39. La Ley 599 de 2000 tendrá un nuevo artículo 564,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564. </w:t>
      </w:r>
      <w:r w:rsidRPr="00414BF5">
        <w:rPr>
          <w:rFonts w:ascii="Arial" w:eastAsia="Calibri" w:hAnsi="Arial" w:cs="Arial"/>
          <w:b/>
          <w:bCs/>
          <w:i/>
          <w:iCs/>
          <w:sz w:val="24"/>
          <w:szCs w:val="24"/>
          <w:lang w:val="es-ES_tradnl"/>
        </w:rPr>
        <w:t>Omisión de denuncia de explotación sexual infantil</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xml:space="preserve"> El que, por razón de su oficio, cargo o actividad, tuviere conocimiento de la utilización de menores para la realización de cualquiera de las conductas previstas en el Capítulo Cuarto del Título IV </w:t>
      </w:r>
      <w:r w:rsidRPr="00414BF5">
        <w:rPr>
          <w:rFonts w:ascii="Arial" w:eastAsia="Calibri" w:hAnsi="Arial" w:cs="Arial"/>
          <w:sz w:val="24"/>
          <w:szCs w:val="24"/>
          <w:lang w:val="es-ES_tradnl"/>
        </w:rPr>
        <w:lastRenderedPageBreak/>
        <w:t>del Libro Segundo de esta ley y omitiere informar a las autoridades administrativas o judiciales competentes sobre tales hechos, teniendo el deber legal de hacerlo, incurrirá en multa de trece punto treinta y tres (13.33) a setenta y cinco (75)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la conducta se realizare por servidor público, se impondrá,</w:t>
      </w:r>
      <w:r w:rsidR="00224F3A" w:rsidRPr="00414BF5">
        <w:rPr>
          <w:rFonts w:ascii="Arial" w:eastAsia="Calibri" w:hAnsi="Arial" w:cs="Arial"/>
          <w:sz w:val="24"/>
          <w:szCs w:val="24"/>
          <w:lang w:val="es-ES_tradnl"/>
        </w:rPr>
        <w:t xml:space="preserve"> además, la pérdida del empleo.</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40. La Ley 599 de 2000 tendrá un nuevo Título VI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VI</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w:t>
      </w:r>
      <w:r w:rsidR="00224F3A" w:rsidRPr="00414BF5">
        <w:rPr>
          <w:rFonts w:ascii="Arial" w:eastAsia="Calibri" w:hAnsi="Arial" w:cs="Arial"/>
          <w:sz w:val="24"/>
          <w:szCs w:val="24"/>
          <w:lang w:val="es-ES_tradnl"/>
        </w:rPr>
        <w:t>NES CONTRA </w:t>
      </w:r>
      <w:r w:rsidR="00224F3A" w:rsidRPr="00414BF5">
        <w:rPr>
          <w:rFonts w:ascii="Arial" w:eastAsia="Calibri" w:hAnsi="Arial" w:cs="Arial"/>
          <w:sz w:val="24"/>
          <w:szCs w:val="24"/>
          <w:lang w:val="es-ES_tradnl"/>
        </w:rPr>
        <w:br/>
        <w:t>LA INTEGRIDAD MORAL</w:t>
      </w:r>
    </w:p>
    <w:p w:rsidR="00224F3A" w:rsidRPr="00414BF5" w:rsidRDefault="00224F3A" w:rsidP="00224F3A">
      <w:pPr>
        <w:spacing w:after="0" w:line="240" w:lineRule="auto"/>
        <w:jc w:val="center"/>
        <w:rPr>
          <w:rFonts w:ascii="Arial" w:eastAsia="Calibri" w:hAnsi="Arial" w:cs="Arial"/>
          <w:sz w:val="24"/>
          <w:szCs w:val="24"/>
          <w:lang w:val="es-ES_tradnl"/>
        </w:rPr>
      </w:pPr>
    </w:p>
    <w:p w:rsidR="00224F3A" w:rsidRPr="00414BF5" w:rsidRDefault="00224F3A" w:rsidP="00224F3A">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41. La Ley 599 de 2000 tendrá un nuevo artículo 565,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565. </w:t>
      </w:r>
      <w:r w:rsidRPr="00414BF5">
        <w:rPr>
          <w:rFonts w:ascii="Arial" w:eastAsia="Calibri" w:hAnsi="Arial" w:cs="Arial"/>
          <w:b/>
          <w:bCs/>
          <w:i/>
          <w:iCs/>
          <w:sz w:val="24"/>
          <w:szCs w:val="24"/>
          <w:lang w:val="es-ES_tradnl"/>
        </w:rPr>
        <w:t>Injuria</w:t>
      </w:r>
      <w:r w:rsidRPr="00414BF5">
        <w:rPr>
          <w:rFonts w:ascii="Arial" w:eastAsia="Calibri" w:hAnsi="Arial" w:cs="Arial"/>
          <w:sz w:val="24"/>
          <w:szCs w:val="24"/>
          <w:lang w:val="es-ES_tradnl"/>
        </w:rPr>
        <w:t>. El que haga a otra persona imputaciones deshonrosas, incurrirá en prisión de dieciséis (16) a cincuenta y cuatro (54) meses y multa de trece punto treinta y tres (13.33) a mil quinientos (1.500)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42. La Ley 599 de 2000 tendrá un nuevo artículo 566,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566. </w:t>
      </w:r>
      <w:r w:rsidRPr="00414BF5">
        <w:rPr>
          <w:rFonts w:ascii="Arial" w:eastAsia="Calibri" w:hAnsi="Arial" w:cs="Arial"/>
          <w:b/>
          <w:bCs/>
          <w:i/>
          <w:iCs/>
          <w:sz w:val="24"/>
          <w:szCs w:val="24"/>
          <w:lang w:val="es-ES_tradnl"/>
        </w:rPr>
        <w:t>Calumnia</w:t>
      </w:r>
      <w:r w:rsidRPr="00414BF5">
        <w:rPr>
          <w:rFonts w:ascii="Arial" w:eastAsia="Calibri" w:hAnsi="Arial" w:cs="Arial"/>
          <w:sz w:val="24"/>
          <w:szCs w:val="24"/>
          <w:lang w:val="es-ES_tradnl"/>
        </w:rPr>
        <w:t>. El que impute falsamente a otro una conducta típica, incurrirá en prisión de dieciséis (16) a setenta y dos (72) meses y multa de trece punto treinta y tres (13.33) a mil quinientos (1.500)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43. La Ley 599 de 2000 tendrá un nuevo artículo 567,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567</w:t>
      </w:r>
      <w:r w:rsidRPr="00414BF5">
        <w:rPr>
          <w:rFonts w:ascii="Arial" w:eastAsia="Calibri" w:hAnsi="Arial" w:cs="Arial"/>
          <w:b/>
          <w:bCs/>
          <w:i/>
          <w:iCs/>
          <w:sz w:val="24"/>
          <w:szCs w:val="24"/>
          <w:lang w:val="es-ES_tradnl"/>
        </w:rPr>
        <w:t>. Injuria y calumnia indirectas</w:t>
      </w:r>
      <w:r w:rsidRPr="00414BF5">
        <w:rPr>
          <w:rFonts w:ascii="Arial" w:eastAsia="Calibri" w:hAnsi="Arial" w:cs="Arial"/>
          <w:sz w:val="24"/>
          <w:szCs w:val="24"/>
          <w:lang w:val="es-ES_tradnl"/>
        </w:rPr>
        <w:t>. A las penas previstas en los artículos anteriores quedará sometido quien publicare, reprodujere, repitiere injuria o calumnia imputada por otro, o quien haga la imputación de modo impersonal o con las expresiones se di</w:t>
      </w:r>
      <w:r w:rsidR="00224F3A" w:rsidRPr="00414BF5">
        <w:rPr>
          <w:rFonts w:ascii="Arial" w:eastAsia="Calibri" w:hAnsi="Arial" w:cs="Arial"/>
          <w:sz w:val="24"/>
          <w:szCs w:val="24"/>
          <w:lang w:val="es-ES_tradnl"/>
        </w:rPr>
        <w:t>ce, se asegura u otra semejante</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44. La Ley 599 de 2000 tendrá un nuevo artículo 568,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568. </w:t>
      </w:r>
      <w:r w:rsidRPr="00414BF5">
        <w:rPr>
          <w:rFonts w:ascii="Arial" w:eastAsia="Calibri" w:hAnsi="Arial" w:cs="Arial"/>
          <w:b/>
          <w:bCs/>
          <w:i/>
          <w:iCs/>
          <w:sz w:val="24"/>
          <w:szCs w:val="24"/>
          <w:lang w:val="es-ES_tradnl"/>
        </w:rPr>
        <w:t>Circunstancias especiales de graduación de la pe na</w:t>
      </w:r>
      <w:r w:rsidRPr="00414BF5">
        <w:rPr>
          <w:rFonts w:ascii="Arial" w:eastAsia="Calibri" w:hAnsi="Arial" w:cs="Arial"/>
          <w:sz w:val="24"/>
          <w:szCs w:val="24"/>
          <w:lang w:val="es-ES_tradnl"/>
        </w:rPr>
        <w:t>. Cuando alguna de las conductas previstas en este título se cometiere utilizando cualquier medio de comunicación social u otro de divulgación colectiva o en reunión pública, las penas respectivas se aumentarán de una sexta parte a la mitad.</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se cometiere por medio de escrito dirigido exclusivamente al ofendido o en su sola presencia, la pena imponibl</w:t>
      </w:r>
      <w:r w:rsidR="00224F3A" w:rsidRPr="00414BF5">
        <w:rPr>
          <w:rFonts w:ascii="Arial" w:eastAsia="Calibri" w:hAnsi="Arial" w:cs="Arial"/>
          <w:sz w:val="24"/>
          <w:szCs w:val="24"/>
          <w:lang w:val="es-ES_tradnl"/>
        </w:rPr>
        <w:t>e se reducirá hasta en la mitad</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45. La Ley 599 de 2000 tendrá un nuevo artículo 569,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569. </w:t>
      </w:r>
      <w:r w:rsidRPr="00414BF5">
        <w:rPr>
          <w:rFonts w:ascii="Arial" w:eastAsia="Calibri" w:hAnsi="Arial" w:cs="Arial"/>
          <w:b/>
          <w:bCs/>
          <w:i/>
          <w:iCs/>
          <w:sz w:val="24"/>
          <w:szCs w:val="24"/>
          <w:lang w:val="es-ES_tradnl"/>
        </w:rPr>
        <w:t>Eximente de responsabilidad</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No será responsable de las conductas descritas en los artículos anteriores quien probare la veracidad de las imputaciones.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Sin embargo, en ningún caso se admitirá prueba sobre la imputación de conductas que se refieran a la vida sexual, conyugal, marital o de familia, o al sujeto pasivo de un delito contra la libertad y</w:t>
      </w:r>
      <w:r w:rsidR="00224F3A" w:rsidRPr="00414BF5">
        <w:rPr>
          <w:rFonts w:ascii="Arial" w:eastAsia="Calibri" w:hAnsi="Arial" w:cs="Arial"/>
          <w:sz w:val="24"/>
          <w:szCs w:val="24"/>
          <w:lang w:val="es-ES_tradnl"/>
        </w:rPr>
        <w:t xml:space="preserve"> la formación sexuales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46. La Ley 599 de 2000 tendrá un nuevo artículo 570,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570. </w:t>
      </w:r>
      <w:r w:rsidRPr="00414BF5">
        <w:rPr>
          <w:rFonts w:ascii="Arial" w:eastAsia="Calibri" w:hAnsi="Arial" w:cs="Arial"/>
          <w:b/>
          <w:bCs/>
          <w:i/>
          <w:iCs/>
          <w:sz w:val="24"/>
          <w:szCs w:val="24"/>
          <w:lang w:val="es-ES_tradnl"/>
        </w:rPr>
        <w:t>Retractación</w:t>
      </w:r>
      <w:r w:rsidRPr="00414BF5">
        <w:rPr>
          <w:rFonts w:ascii="Arial" w:eastAsia="Calibri" w:hAnsi="Arial" w:cs="Arial"/>
          <w:sz w:val="24"/>
          <w:szCs w:val="24"/>
          <w:lang w:val="es-ES_tradnl"/>
        </w:rPr>
        <w:t>. No habrá lugar a responsabilidad si el autor o partícipe de cualquiera de las conductas previstas en este título, se retractare voluntariamente antes de proferirse sentencia de primera o única instancia, siempre que la publicación de la retractación se haga a costa del responsable, se cumpla en el mismo medio y con las mismas características en que se difundió la imputación o en el que señale el funcionario judicial, en los demás casos.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No se podrá iniciar acción penal, si la retractación o rectificación se hace pública antes de que el ofendido</w:t>
      </w:r>
      <w:r w:rsidR="00224F3A" w:rsidRPr="00414BF5">
        <w:rPr>
          <w:rFonts w:ascii="Arial" w:eastAsia="Calibri" w:hAnsi="Arial" w:cs="Arial"/>
          <w:sz w:val="24"/>
          <w:szCs w:val="24"/>
          <w:lang w:val="es-ES_tradnl"/>
        </w:rPr>
        <w:t xml:space="preserve"> formule la respectiva querella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47. La Ley 599 de 2000 tendrá un nuevo artículo 571,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571. </w:t>
      </w:r>
      <w:r w:rsidRPr="00414BF5">
        <w:rPr>
          <w:rFonts w:ascii="Arial" w:eastAsia="Calibri" w:hAnsi="Arial" w:cs="Arial"/>
          <w:b/>
          <w:bCs/>
          <w:i/>
          <w:iCs/>
          <w:sz w:val="24"/>
          <w:szCs w:val="24"/>
          <w:lang w:val="es-ES_tradnl"/>
        </w:rPr>
        <w:t>Injuria por vías de hecho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xml:space="preserve"> En la misma pena prevista en el artículo 565 incurrirá el que por vías </w:t>
      </w:r>
      <w:r w:rsidR="00224F3A" w:rsidRPr="00414BF5">
        <w:rPr>
          <w:rFonts w:ascii="Arial" w:eastAsia="Calibri" w:hAnsi="Arial" w:cs="Arial"/>
          <w:sz w:val="24"/>
          <w:szCs w:val="24"/>
          <w:lang w:val="es-ES_tradnl"/>
        </w:rPr>
        <w:t>de hecho agravie a otra persona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Artículo 48. La Ley 599 de 2000 tendrá un nuevo artículo 57</w:t>
      </w:r>
      <w:r w:rsidR="00F359D8" w:rsidRPr="004C22C2">
        <w:rPr>
          <w:rFonts w:ascii="Arial" w:eastAsia="Calibri" w:hAnsi="Arial" w:cs="Arial"/>
          <w:sz w:val="24"/>
          <w:szCs w:val="24"/>
          <w:lang w:val="es-ES_tradnl"/>
        </w:rPr>
        <w:t>2</w:t>
      </w:r>
      <w:r w:rsidRPr="004C22C2">
        <w:rPr>
          <w:rFonts w:ascii="Arial" w:eastAsia="Calibri" w:hAnsi="Arial" w:cs="Arial"/>
          <w:sz w:val="24"/>
          <w:szCs w:val="24"/>
          <w:lang w:val="es-ES_tradnl"/>
        </w:rPr>
        <w:t>, así:</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Artículo 57</w:t>
      </w:r>
      <w:r w:rsidR="00F359D8" w:rsidRPr="004C22C2">
        <w:rPr>
          <w:rFonts w:ascii="Arial" w:eastAsia="Calibri" w:hAnsi="Arial" w:cs="Arial"/>
          <w:b/>
          <w:bCs/>
          <w:sz w:val="24"/>
          <w:szCs w:val="24"/>
          <w:lang w:val="es-ES_tradnl"/>
        </w:rPr>
        <w:t>2</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Injurias o calumnias recíprocas</w:t>
      </w:r>
      <w:r w:rsidRPr="004C22C2">
        <w:rPr>
          <w:rFonts w:ascii="Arial" w:eastAsia="Calibri" w:hAnsi="Arial" w:cs="Arial"/>
          <w:sz w:val="24"/>
          <w:szCs w:val="24"/>
          <w:lang w:val="es-ES_tradnl"/>
        </w:rPr>
        <w:t xml:space="preserve">. Si las imputaciones o agravios a que se refieren los artículos 565, 566 y </w:t>
      </w:r>
      <w:r w:rsidR="00F359D8" w:rsidRPr="004C22C2">
        <w:rPr>
          <w:rFonts w:ascii="Arial" w:eastAsia="Calibri" w:hAnsi="Arial" w:cs="Arial"/>
          <w:sz w:val="24"/>
          <w:szCs w:val="24"/>
          <w:lang w:val="es-ES_tradnl"/>
        </w:rPr>
        <w:t xml:space="preserve">571 </w:t>
      </w:r>
      <w:r w:rsidRPr="004C22C2">
        <w:rPr>
          <w:rFonts w:ascii="Arial" w:eastAsia="Calibri" w:hAnsi="Arial" w:cs="Arial"/>
          <w:sz w:val="24"/>
          <w:szCs w:val="24"/>
          <w:lang w:val="es-ES_tradnl"/>
        </w:rPr>
        <w:t>fueren recíprocas, se podrán declarar exentos de responsabilidad a los injuriantes o calumniantes o a cualquiera de ellos.</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49. La Ley 599 de 2000 tendrá un nuevo artículo 573,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573. </w:t>
      </w:r>
      <w:r w:rsidRPr="00414BF5">
        <w:rPr>
          <w:rFonts w:ascii="Arial" w:eastAsia="Calibri" w:hAnsi="Arial" w:cs="Arial"/>
          <w:b/>
          <w:bCs/>
          <w:i/>
          <w:iCs/>
          <w:sz w:val="24"/>
          <w:szCs w:val="24"/>
          <w:lang w:val="es-ES_tradnl"/>
        </w:rPr>
        <w:t>Imputaciones de litigantes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xml:space="preserve"> Las injurias expresadas por los litigantes, apoderados o defensores en los escritos, discursos o informes producidos ante los </w:t>
      </w:r>
      <w:r w:rsidRPr="00414BF5">
        <w:rPr>
          <w:rFonts w:ascii="Arial" w:eastAsia="Calibri" w:hAnsi="Arial" w:cs="Arial"/>
          <w:sz w:val="24"/>
          <w:szCs w:val="24"/>
          <w:lang w:val="es-ES_tradnl"/>
        </w:rPr>
        <w:lastRenderedPageBreak/>
        <w:t>tribunales y no dados por sus autores a la publicidad, quedarán sujetas únicamente a las correcciones y acciones disciplinarias correspondientes.</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50. La Ley 599 de 2000 tendrá un nuevo Título VII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VII</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w:t>
      </w:r>
      <w:r w:rsidR="00224F3A" w:rsidRPr="00414BF5">
        <w:rPr>
          <w:rFonts w:ascii="Arial" w:eastAsia="Calibri" w:hAnsi="Arial" w:cs="Arial"/>
          <w:sz w:val="24"/>
          <w:szCs w:val="24"/>
          <w:lang w:val="es-ES_tradnl"/>
        </w:rPr>
        <w:t>TRAVENCIONES CONTRA LA</w:t>
      </w:r>
      <w:r w:rsidR="00224F3A" w:rsidRPr="00414BF5">
        <w:rPr>
          <w:rFonts w:ascii="Arial" w:eastAsia="Calibri" w:hAnsi="Arial" w:cs="Arial"/>
          <w:sz w:val="24"/>
          <w:szCs w:val="24"/>
          <w:lang w:val="es-ES_tradnl"/>
        </w:rPr>
        <w:br/>
        <w:t> FAMILIA</w:t>
      </w:r>
    </w:p>
    <w:p w:rsidR="00224F3A" w:rsidRPr="00414BF5" w:rsidRDefault="00224F3A" w:rsidP="00224F3A">
      <w:pPr>
        <w:spacing w:after="0" w:line="240" w:lineRule="auto"/>
        <w:jc w:val="center"/>
        <w:rPr>
          <w:rFonts w:ascii="Arial" w:eastAsia="Calibri" w:hAnsi="Arial" w:cs="Arial"/>
          <w:sz w:val="24"/>
          <w:szCs w:val="24"/>
          <w:lang w:val="es-ES_tradnl"/>
        </w:rPr>
      </w:pPr>
    </w:p>
    <w:p w:rsidR="00224F3A" w:rsidRPr="00414BF5" w:rsidRDefault="00224F3A" w:rsidP="00224F3A">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51. La Ley 599 de 2000 tendrá un nuevo artículo 574,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574. </w:t>
      </w:r>
      <w:r w:rsidRPr="00414BF5">
        <w:rPr>
          <w:rFonts w:ascii="Arial" w:eastAsia="Calibri" w:hAnsi="Arial" w:cs="Arial"/>
          <w:b/>
          <w:bCs/>
          <w:i/>
          <w:iCs/>
          <w:sz w:val="24"/>
          <w:szCs w:val="24"/>
          <w:lang w:val="es-ES_tradnl"/>
        </w:rPr>
        <w:t>Maltrato mediante restricción a la libertad física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mediante fuerza restrinja la libertad de locomoción a otra persona mayor de edad perteneciente a su grupo familiar o en menor de edad sobre el cual no se ejerza patria potestad, incurrirá en prisión de uno dieciséis (16) a treinta y seis (36) meses y en multa de uno punto treinta y tres (1.33) a veinticuatro (24) salarios mínimos legales mensuales vigentes, siempre que la conducta no constituya conducta punible sancionada con pena mayor.</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doméstica. La afinidad será derivada de cualquier forma de matrimonio, unión libre.</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52. La Ley 599 de 2000 tendrá un nuevo Título VIII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VIII</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w:t>
      </w:r>
      <w:r w:rsidR="00224F3A" w:rsidRPr="00414BF5">
        <w:rPr>
          <w:rFonts w:ascii="Arial" w:eastAsia="Calibri" w:hAnsi="Arial" w:cs="Arial"/>
          <w:sz w:val="24"/>
          <w:szCs w:val="24"/>
          <w:lang w:val="es-ES_tradnl"/>
        </w:rPr>
        <w:t>NTRA </w:t>
      </w:r>
      <w:r w:rsidR="00224F3A" w:rsidRPr="00414BF5">
        <w:rPr>
          <w:rFonts w:ascii="Arial" w:eastAsia="Calibri" w:hAnsi="Arial" w:cs="Arial"/>
          <w:sz w:val="24"/>
          <w:szCs w:val="24"/>
          <w:lang w:val="es-ES_tradnl"/>
        </w:rPr>
        <w:br/>
        <w:t>LA ASISTENCIA ALIMENTARIA</w:t>
      </w:r>
    </w:p>
    <w:p w:rsidR="00224F3A" w:rsidRPr="00414BF5" w:rsidRDefault="00224F3A" w:rsidP="00224F3A">
      <w:pPr>
        <w:spacing w:after="0" w:line="240" w:lineRule="auto"/>
        <w:jc w:val="center"/>
        <w:rPr>
          <w:rFonts w:ascii="Arial" w:eastAsia="Calibri" w:hAnsi="Arial" w:cs="Arial"/>
          <w:sz w:val="24"/>
          <w:szCs w:val="24"/>
          <w:lang w:val="es-ES_tradnl"/>
        </w:rPr>
      </w:pPr>
    </w:p>
    <w:p w:rsidR="00224F3A" w:rsidRPr="00414BF5" w:rsidRDefault="00224F3A" w:rsidP="00224F3A">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53. La Ley 599 de 2000 tendrá un nuevo artículo 575,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575. Malversación y dilapidación de bienes de familiares</w:t>
      </w:r>
      <w:r w:rsidRPr="00414BF5">
        <w:rPr>
          <w:rFonts w:ascii="Arial" w:eastAsia="Calibri" w:hAnsi="Arial" w:cs="Arial"/>
          <w:sz w:val="24"/>
          <w:szCs w:val="24"/>
          <w:lang w:val="es-ES_tradnl"/>
        </w:rPr>
        <w:t>. El que malverse o dilapide los bienes que administre en ejercicio de la patria potestad, tutela o curatela en ascendiente, adoptante, cónyuge o compañero permanente, incurrirá en prisión de dieciséis (16) a treinta y seis (36) meses y multa de uno punto treinta y tres (1.33) a quince (15) salarios mínimos legales mensuales vigentes, siempre que la conducta no c</w:t>
      </w:r>
      <w:r w:rsidR="00224F3A" w:rsidRPr="00414BF5">
        <w:rPr>
          <w:rFonts w:ascii="Arial" w:eastAsia="Calibri" w:hAnsi="Arial" w:cs="Arial"/>
          <w:sz w:val="24"/>
          <w:szCs w:val="24"/>
          <w:lang w:val="es-ES_tradnl"/>
        </w:rPr>
        <w:t>onstituya otra conducta punible</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54. La Ley 599 de 2000 tendrá un nuevo Título XIX dentro de su Libro Tercero, con el siguiente nombre:</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IX</w:t>
      </w:r>
    </w:p>
    <w:p w:rsidR="00704C86" w:rsidRPr="00414BF5" w:rsidRDefault="00704C86" w:rsidP="00224F3A">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 xml:space="preserve">CONTRAVENCIONES </w:t>
      </w:r>
      <w:r w:rsidR="00224F3A" w:rsidRPr="00414BF5">
        <w:rPr>
          <w:rFonts w:ascii="Arial" w:eastAsia="Calibri" w:hAnsi="Arial" w:cs="Arial"/>
          <w:sz w:val="24"/>
          <w:szCs w:val="24"/>
          <w:lang w:val="es-ES_tradnl"/>
        </w:rPr>
        <w:t>CONTRA EL </w:t>
      </w:r>
      <w:r w:rsidR="00224F3A" w:rsidRPr="00414BF5">
        <w:rPr>
          <w:rFonts w:ascii="Arial" w:eastAsia="Calibri" w:hAnsi="Arial" w:cs="Arial"/>
          <w:sz w:val="24"/>
          <w:szCs w:val="24"/>
          <w:lang w:val="es-ES_tradnl"/>
        </w:rPr>
        <w:br/>
        <w:t>PATRIMONIO ECONÓMICO</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55. La Ley 599 de 2000 tendrá un nuevo artículo 576,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b/>
          <w:bCs/>
          <w:sz w:val="24"/>
          <w:szCs w:val="24"/>
          <w:lang w:val="es-ES_tradnl"/>
        </w:rPr>
        <w:t>Artículo 576. </w:t>
      </w:r>
      <w:r w:rsidRPr="00414BF5">
        <w:rPr>
          <w:rFonts w:ascii="Arial" w:eastAsia="Calibri" w:hAnsi="Arial" w:cs="Arial"/>
          <w:b/>
          <w:bCs/>
          <w:i/>
          <w:iCs/>
          <w:sz w:val="24"/>
          <w:szCs w:val="24"/>
          <w:lang w:val="es-ES_tradnl"/>
        </w:rPr>
        <w:t>Hurto contravencional</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se apodere de cosa mueble ajena cuya cuantía no exceda de ciento cincuenta (150) salarios mínimos legales mensuales vigentes, con el propósito de obtener provecho para sí o para otro, incurrirá en prisión de veinte (20) a ochenta (80) meses.</w:t>
      </w: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prisión de dieciséis (16) a treinta y seis (36) meses cuando la cuantía no exceda de diez (10)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56. La Ley 599 de 2000 tendrá un nuevo artículo 577,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577. </w:t>
      </w:r>
      <w:r w:rsidRPr="00414BF5">
        <w:rPr>
          <w:rFonts w:ascii="Arial" w:eastAsia="Calibri" w:hAnsi="Arial" w:cs="Arial"/>
          <w:b/>
          <w:bCs/>
          <w:i/>
          <w:iCs/>
          <w:sz w:val="24"/>
          <w:szCs w:val="24"/>
          <w:lang w:val="es-ES_tradnl"/>
        </w:rPr>
        <w:t>Circunstancias de agravación punitiva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La pena imponible de acuerdo con el artículo anterior se aumentará de la mitad a las tres cuartas partes si la conducta se cometiere mediando alguna de las causales contempladas por</w:t>
      </w:r>
      <w:r w:rsidR="00224F3A" w:rsidRPr="00414BF5">
        <w:rPr>
          <w:rFonts w:ascii="Arial" w:eastAsia="Calibri" w:hAnsi="Arial" w:cs="Arial"/>
          <w:sz w:val="24"/>
          <w:szCs w:val="24"/>
          <w:lang w:val="es-ES_tradnl"/>
        </w:rPr>
        <w:t xml:space="preserve"> el artículo 241 de este código</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highlight w:val="yellow"/>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Artículo 57. La Ley 599 de 2000 tendrá un nuevo artículo </w:t>
      </w:r>
      <w:r w:rsidR="00F359D8" w:rsidRPr="004C22C2">
        <w:rPr>
          <w:rFonts w:ascii="Arial" w:eastAsia="Calibri" w:hAnsi="Arial" w:cs="Arial"/>
          <w:sz w:val="24"/>
          <w:szCs w:val="24"/>
          <w:lang w:val="es-ES_tradnl"/>
        </w:rPr>
        <w:t>578</w:t>
      </w:r>
      <w:r w:rsidRPr="004C22C2">
        <w:rPr>
          <w:rFonts w:ascii="Arial" w:eastAsia="Calibri" w:hAnsi="Arial" w:cs="Arial"/>
          <w:sz w:val="24"/>
          <w:szCs w:val="24"/>
          <w:lang w:val="es-ES_tradnl"/>
        </w:rPr>
        <w:t>, así:</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359D8" w:rsidRPr="004C22C2">
        <w:rPr>
          <w:rFonts w:ascii="Arial" w:eastAsia="Calibri" w:hAnsi="Arial" w:cs="Arial"/>
          <w:b/>
          <w:bCs/>
          <w:sz w:val="24"/>
          <w:szCs w:val="24"/>
          <w:lang w:val="es-ES_tradnl"/>
        </w:rPr>
        <w:t>578</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Circunstancias de atenuación punitiva</w:t>
      </w:r>
      <w:r w:rsidRPr="004C22C2">
        <w:rPr>
          <w:rFonts w:ascii="Arial" w:eastAsia="Calibri" w:hAnsi="Arial" w:cs="Arial"/>
          <w:i/>
          <w:iCs/>
          <w:sz w:val="24"/>
          <w:szCs w:val="24"/>
          <w:lang w:val="es-ES_tradnl"/>
        </w:rPr>
        <w:t>.</w:t>
      </w:r>
      <w:r w:rsidRPr="004C22C2">
        <w:rPr>
          <w:rFonts w:ascii="Arial" w:eastAsia="Calibri" w:hAnsi="Arial" w:cs="Arial"/>
          <w:sz w:val="24"/>
          <w:szCs w:val="24"/>
          <w:lang w:val="es-ES_tradnl"/>
        </w:rPr>
        <w:t xml:space="preserve"> La pena de las conductas punibles previstas en los artículos 239 y </w:t>
      </w:r>
      <w:r w:rsidR="00F359D8" w:rsidRPr="004C22C2">
        <w:rPr>
          <w:rFonts w:ascii="Arial" w:eastAsia="Calibri" w:hAnsi="Arial" w:cs="Arial"/>
          <w:sz w:val="24"/>
          <w:szCs w:val="24"/>
          <w:lang w:val="es-ES_tradnl"/>
        </w:rPr>
        <w:t xml:space="preserve">576 </w:t>
      </w:r>
      <w:r w:rsidRPr="004C22C2">
        <w:rPr>
          <w:rFonts w:ascii="Arial" w:eastAsia="Calibri" w:hAnsi="Arial" w:cs="Arial"/>
          <w:sz w:val="24"/>
          <w:szCs w:val="24"/>
          <w:lang w:val="es-ES_tradnl"/>
        </w:rPr>
        <w:t>será de multa cuando:</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El apoderamiento se cometiere con el fin de hacer uso de la cosa y se restituyere en término no mayor de veinticuatro (24) horas.</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Cuando la cosa se restituyere con daño o deterioro grave, la pena solo se reducirá hasta en una tercera parte, sin que pueda ser inferior a uno punto tres (1.3) unidades multa.</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La conducta se cometiere por socio, copropietario, comunero o heredero, o sobre cosa común indivisible o común divisible, excediendo su cuota parte. Este inciso no cobija los casos de conductas cometidas por socios de una </w:t>
      </w:r>
      <w:r w:rsidR="00224F3A" w:rsidRPr="004C22C2">
        <w:rPr>
          <w:rFonts w:ascii="Arial" w:eastAsia="Calibri" w:hAnsi="Arial" w:cs="Arial"/>
          <w:sz w:val="24"/>
          <w:szCs w:val="24"/>
          <w:lang w:val="es-ES_tradnl"/>
        </w:rPr>
        <w:t>sociedad legalmente constituida</w:t>
      </w:r>
      <w:r w:rsidRPr="004C22C2">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58. La Ley 599 de 2000 tendrá un nuevo artículo 579,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579. </w:t>
      </w:r>
      <w:r w:rsidRPr="00414BF5">
        <w:rPr>
          <w:rFonts w:ascii="Arial" w:eastAsia="Calibri" w:hAnsi="Arial" w:cs="Arial"/>
          <w:b/>
          <w:bCs/>
          <w:i/>
          <w:iCs/>
          <w:sz w:val="24"/>
          <w:szCs w:val="24"/>
          <w:lang w:val="es-ES_tradnl"/>
        </w:rPr>
        <w:t>Alteración, desfiguración y suplantación de marcas de ganado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altere, desfigure o suplante marca de ganado ajeno, o marque el que no le pertenezca, incurrirá en prisión de dieciséis (16) a treinta y seis (36) meses y multa de trece punto treinta y tres (13.33) a treinta (30) salarios mínimos legales mensuales vigentes, siempre que la conducta no constituya otra conducta punible.</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59. La Ley 599 de 2000 tendrá un nuevo artículo 580,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580. </w:t>
      </w:r>
      <w:r w:rsidRPr="00414BF5">
        <w:rPr>
          <w:rFonts w:ascii="Arial" w:eastAsia="Calibri" w:hAnsi="Arial" w:cs="Arial"/>
          <w:b/>
          <w:bCs/>
          <w:i/>
          <w:iCs/>
          <w:sz w:val="24"/>
          <w:szCs w:val="24"/>
          <w:lang w:val="es-ES_tradnl"/>
        </w:rPr>
        <w:t>Estafa contravencional</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obtenga provecho ilícito para sí o para un tercero, cuya cuantía no exceda de ciento cincuenta (150) salarios mínimos legales mensual es vigentes, con perjuicio ajeno, induciendo o manteniendo a otro en error por medio de artificios o engaños, incurrirá en prisión de veinte (20) a cien (100) meses y multa de sesenta y seis punto sesenta y seis (66.66) a mil doscientos (1.200)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prisión de dieciséis (16) meses a treinta y seis (36) meses y multa hasta de quince (15) salarios mínimos legales mensuales vigentes, cuando la cuantía no exceda de diez (10)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de prisión será de cuarenta y cinco (45) a ciento veinte (120) meses cuando medie alguna de las circunstancias previstas en</w:t>
      </w:r>
      <w:r w:rsidR="00224F3A" w:rsidRPr="00414BF5">
        <w:rPr>
          <w:rFonts w:ascii="Arial" w:eastAsia="Calibri" w:hAnsi="Arial" w:cs="Arial"/>
          <w:sz w:val="24"/>
          <w:szCs w:val="24"/>
          <w:lang w:val="es-ES_tradnl"/>
        </w:rPr>
        <w:t xml:space="preserve"> el artículo 247 de este código</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60. La Ley 599 de 2000 tendrá un nuevo artículo 581,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581. </w:t>
      </w:r>
      <w:r w:rsidRPr="00414BF5">
        <w:rPr>
          <w:rFonts w:ascii="Arial" w:eastAsia="Calibri" w:hAnsi="Arial" w:cs="Arial"/>
          <w:b/>
          <w:bCs/>
          <w:i/>
          <w:iCs/>
          <w:sz w:val="24"/>
          <w:szCs w:val="24"/>
          <w:lang w:val="es-ES_tradnl"/>
        </w:rPr>
        <w:t>Emisión y transferencia ilegal de cheque</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emita o transfiera cheques sin tener suficiente provisión de fondos, o quien luego de emitirlo diere orden injustificada de no pago, incurrirá en prisión de dieciséis (16) a cincuenta y cuatro (54) meses, siempre que la conducta no constituya conducta punible sancionada con pena mayor.</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acción penal cesará por pago del cheque antes de la sentencia de primera instancia.</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emisión o transferencia de cheque posdatado o entregado en garantía no da lugar a acción penal.</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No podrá iniciarse la acción penal proveniente del giro o transferencia del cheque, si hubieren transcurrido seis meses, contados a partir de la fecha de la creación del mismo, sin haber sido presentado para su pago.</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multa cuando la cuantía no exceda de diez (10)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61. La Ley 599 de 2000 tendrá un nuevo artículo 582,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582. </w:t>
      </w:r>
      <w:r w:rsidRPr="00414BF5">
        <w:rPr>
          <w:rFonts w:ascii="Arial" w:eastAsia="Calibri" w:hAnsi="Arial" w:cs="Arial"/>
          <w:b/>
          <w:bCs/>
          <w:i/>
          <w:iCs/>
          <w:sz w:val="24"/>
          <w:szCs w:val="24"/>
          <w:lang w:val="es-ES_tradnl"/>
        </w:rPr>
        <w:t>Abuso de confianza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se apropie en provecho suyo o de un tercero, de cosa mueble ajena, que se le haya confiado o entregado por un título no traslativo de dominio, incurrirá en prisión de dieciséis (16) a setenta y dos (72) meses y multa de trece punto treinta y tres (13.33) a trescientos (300)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prisión de dieciséis (16) a treinta y seis (36) meses y multa hasta de quince (15) salarios mínimos legales mensuales vigentes, cuando la cuantía no exceda de diez (10)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no hubiere apropiación sino uso indebido de la cosa con perjuicio de tercero, la pena se reducirá en la mitad.</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62. La Ley 599 de 2000 tendrá un nuevo artículo 583,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583. </w:t>
      </w:r>
      <w:r w:rsidRPr="00414BF5">
        <w:rPr>
          <w:rFonts w:ascii="Arial" w:eastAsia="Calibri" w:hAnsi="Arial" w:cs="Arial"/>
          <w:b/>
          <w:bCs/>
          <w:i/>
          <w:iCs/>
          <w:sz w:val="24"/>
          <w:szCs w:val="24"/>
          <w:lang w:val="es-ES_tradnl"/>
        </w:rPr>
        <w:t>Aprovechamiento de error ajeno o caso fortuito</w:t>
      </w:r>
      <w:r w:rsidRPr="00414BF5">
        <w:rPr>
          <w:rFonts w:ascii="Arial" w:eastAsia="Calibri" w:hAnsi="Arial" w:cs="Arial"/>
          <w:sz w:val="24"/>
          <w:szCs w:val="24"/>
          <w:lang w:val="es-ES_tradnl"/>
        </w:rPr>
        <w:t>. El que se apropie de bien que pertenezca a otro y en cuya posesión hubiere entrado por error ajeno o caso fortuito, incurrirá en prisión de dieciséis (16) a cincuenta y cuatro (54) meses.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prisión de dieciséis (16) a treinta y seis (36) meses cuando la cuantía no exceda de diez (10)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63. La Ley 599 de 2000 tendrá un nuevo artículo 584,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584. </w:t>
      </w:r>
      <w:r w:rsidRPr="00414BF5">
        <w:rPr>
          <w:rFonts w:ascii="Arial" w:eastAsia="Calibri" w:hAnsi="Arial" w:cs="Arial"/>
          <w:b/>
          <w:bCs/>
          <w:i/>
          <w:iCs/>
          <w:sz w:val="24"/>
          <w:szCs w:val="24"/>
          <w:lang w:val="es-ES_tradnl"/>
        </w:rPr>
        <w:t>Alzamiento de bienes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alzare con sus bienes o los ocultare o cometiere cualquier otro fraude para perjudicar a su acreedor, incurrirá en prisión de dieciséis (16) a cincuenta y cuatro (54) meses y multa de trece punto treinta y tres (13.33) a trescientos (300)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64. La Ley 599 de 2000 tendrá un nuevo artículo 585,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585. </w:t>
      </w:r>
      <w:r w:rsidRPr="00414BF5">
        <w:rPr>
          <w:rFonts w:ascii="Arial" w:eastAsia="Calibri" w:hAnsi="Arial" w:cs="Arial"/>
          <w:b/>
          <w:bCs/>
          <w:i/>
          <w:iCs/>
          <w:sz w:val="24"/>
          <w:szCs w:val="24"/>
          <w:lang w:val="es-ES_tradnl"/>
        </w:rPr>
        <w:t>Sustracción de bien propio</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dueño de bien mueble que lo sustraiga de quien lo tenga legítimamente en su poder, con perjuicio de este o</w:t>
      </w:r>
      <w:r w:rsidR="00224F3A" w:rsidRPr="00414BF5">
        <w:rPr>
          <w:rFonts w:ascii="Arial" w:eastAsia="Calibri" w:hAnsi="Arial" w:cs="Arial"/>
          <w:sz w:val="24"/>
          <w:szCs w:val="24"/>
          <w:lang w:val="es-ES_tradnl"/>
        </w:rPr>
        <w:t xml:space="preserve"> de tercero, incurrirá en multa</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65. La Ley 599 de 2000 tendrá un nuevo artículo 586,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lastRenderedPageBreak/>
        <w:t>Artículo 586. </w:t>
      </w:r>
      <w:r w:rsidRPr="00414BF5">
        <w:rPr>
          <w:rFonts w:ascii="Arial" w:eastAsia="Calibri" w:hAnsi="Arial" w:cs="Arial"/>
          <w:b/>
          <w:bCs/>
          <w:i/>
          <w:iCs/>
          <w:sz w:val="24"/>
          <w:szCs w:val="24"/>
          <w:lang w:val="es-ES_tradnl"/>
        </w:rPr>
        <w:t>Disposición de bien propio gravado con prenda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deudor que con perjuicio del acreedor, abandone, oculte, transforme, enajene o por cualquier otro medio disponga de bien que hubiere gravado con prenda y cuya tenencia conservare, incurrirá en prisión de dieciséis (16) a setenta y dos (72) meses y multa de trece punto treinta y tres (13.33) a ciento cincuenta (150)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66. La Ley 599 de 2000 tendrá un nuevo artículo 587, así:</w:t>
      </w:r>
    </w:p>
    <w:p w:rsidR="00224F3A" w:rsidRPr="00414BF5" w:rsidRDefault="00224F3A"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587.</w:t>
      </w:r>
      <w:r w:rsidRPr="00414BF5">
        <w:rPr>
          <w:rFonts w:ascii="Arial" w:eastAsia="Calibri" w:hAnsi="Arial" w:cs="Arial"/>
          <w:b/>
          <w:bCs/>
          <w:i/>
          <w:iCs/>
          <w:sz w:val="24"/>
          <w:szCs w:val="24"/>
          <w:lang w:val="es-ES_tradnl"/>
        </w:rPr>
        <w:t> Defraudación de fluidos</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mediante cualquier mecanismo clandestino o alterando los sistemas de control o aparatos contadores, se apropie de energía eléctrica, agua, gas natural, o señal de telecomunicaciones, en perjuicio ajeno, incurrirá en prisión de dieciséis (16) a setenta y dos (72) meses y en multa de uno punto treinta y tres (1.33) a ciento cincuenta (150)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Artículo 67. La </w:t>
      </w:r>
      <w:r w:rsidR="00F359D8" w:rsidRPr="004C22C2">
        <w:rPr>
          <w:rFonts w:ascii="Arial" w:eastAsia="Calibri" w:hAnsi="Arial" w:cs="Arial"/>
          <w:sz w:val="24"/>
          <w:szCs w:val="24"/>
          <w:lang w:val="es-ES_tradnl"/>
        </w:rPr>
        <w:t>Ley 599 de 2000</w:t>
      </w:r>
      <w:r w:rsidRPr="004C22C2">
        <w:rPr>
          <w:rFonts w:ascii="Arial" w:eastAsia="Calibri" w:hAnsi="Arial" w:cs="Arial"/>
          <w:sz w:val="24"/>
          <w:szCs w:val="24"/>
          <w:lang w:val="es-ES_tradnl"/>
        </w:rPr>
        <w:t xml:space="preserve"> tendrá un nuevo artículo </w:t>
      </w:r>
      <w:r w:rsidR="00F359D8" w:rsidRPr="004C22C2">
        <w:rPr>
          <w:rFonts w:ascii="Arial" w:eastAsia="Calibri" w:hAnsi="Arial" w:cs="Arial"/>
          <w:sz w:val="24"/>
          <w:szCs w:val="24"/>
          <w:lang w:val="es-ES_tradnl"/>
        </w:rPr>
        <w:t>588</w:t>
      </w:r>
      <w:r w:rsidRPr="004C22C2">
        <w:rPr>
          <w:rFonts w:ascii="Arial" w:eastAsia="Calibri" w:hAnsi="Arial" w:cs="Arial"/>
          <w:sz w:val="24"/>
          <w:szCs w:val="24"/>
          <w:lang w:val="es-ES_tradnl"/>
        </w:rPr>
        <w:t>, así:</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359D8" w:rsidRPr="004C22C2">
        <w:rPr>
          <w:rFonts w:ascii="Arial" w:eastAsia="Calibri" w:hAnsi="Arial" w:cs="Arial"/>
          <w:b/>
          <w:bCs/>
          <w:sz w:val="24"/>
          <w:szCs w:val="24"/>
          <w:lang w:val="es-ES_tradnl"/>
        </w:rPr>
        <w:t>588</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De la prestación, acceso o uso ilegales de los servicios de telecomunicaciones</w:t>
      </w:r>
      <w:r w:rsidRPr="004C22C2">
        <w:rPr>
          <w:rFonts w:ascii="Arial" w:eastAsia="Calibri" w:hAnsi="Arial" w:cs="Arial"/>
          <w:i/>
          <w:iCs/>
          <w:sz w:val="24"/>
          <w:szCs w:val="24"/>
          <w:lang w:val="es-ES_tradnl"/>
        </w:rPr>
        <w:t>.</w:t>
      </w:r>
      <w:r w:rsidRPr="004C22C2">
        <w:rPr>
          <w:rFonts w:ascii="Arial" w:eastAsia="Calibri" w:hAnsi="Arial" w:cs="Arial"/>
          <w:sz w:val="24"/>
          <w:szCs w:val="24"/>
          <w:lang w:val="es-ES_tradnl"/>
        </w:rPr>
        <w:t> El que, sin la correspondiente autorización de la autoridad competente, preste, acceda o use servicio de telefonía móvil, con ánimo de lucro, mediante copia o reproducción de señales de identificación de equipos terminales de estos servicios, o sus derivaciones, incurrirá en prisión de cuatro (4) a diez (10) años y en multa de quinientos (500) a mil (1.000) salarios mínimos legales mensuales vigentes.</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En las mismas penas incurrirá el que, sin la correspondiente autorización, preste, comercialice, acceda o use el servicio de telefonía pública básica local, local extendida, o de larga distancia, con ánimo de lucro.</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Iguales penas se impondrán a quien, sin la correspondiente autorización, acceda, preste, comercialice, acceda o use red, o cualquiera de los servicios de telecomunicaciones definidos en las normas vigentes.</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Parágrafo 1°. No incurrirán en las conductas tipificadas en el presente artículo quienes en virtud de un contrato con un operador autorizado comercialicen servicios de telecomunicaciones.</w:t>
      </w:r>
    </w:p>
    <w:p w:rsidR="00224F3A" w:rsidRPr="004C22C2"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Parágrafo 2º. No será punible a efectos del presente artículo la transferencia transitoria, con o sin ánimo de lucro, que el titular haga de equipos terminales de servicios de telecomunicaciones cuyo fin sea el de permitir a un tercero el uso individual del servicio respectivo.</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68. La Ley 599 de 2000 tendrá un nuevo artículo 589,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lastRenderedPageBreak/>
        <w:t>Artículo 589. </w:t>
      </w:r>
      <w:r w:rsidRPr="00414BF5">
        <w:rPr>
          <w:rFonts w:ascii="Arial" w:eastAsia="Calibri" w:hAnsi="Arial" w:cs="Arial"/>
          <w:b/>
          <w:bCs/>
          <w:i/>
          <w:iCs/>
          <w:sz w:val="24"/>
          <w:szCs w:val="24"/>
          <w:lang w:val="es-ES_tradnl"/>
        </w:rPr>
        <w:t>Malversación y dilapidación de bienes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malverse o dilapide los bienes que administre en ejercicio de tutela o curatela, incurrirá en prisión de dieciséis (16) a treinta y seis (36) meses, siempre que la conducta no c</w:t>
      </w:r>
      <w:r w:rsidR="00224F3A" w:rsidRPr="00414BF5">
        <w:rPr>
          <w:rFonts w:ascii="Arial" w:eastAsia="Calibri" w:hAnsi="Arial" w:cs="Arial"/>
          <w:sz w:val="24"/>
          <w:szCs w:val="24"/>
          <w:lang w:val="es-ES_tradnl"/>
        </w:rPr>
        <w:t>onstituya otra conducta punible</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69. La Ley 599 de 2000 tendrá un nuevo artículo 590,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590. </w:t>
      </w:r>
      <w:r w:rsidRPr="00414BF5">
        <w:rPr>
          <w:rFonts w:ascii="Arial" w:eastAsia="Calibri" w:hAnsi="Arial" w:cs="Arial"/>
          <w:b/>
          <w:bCs/>
          <w:i/>
          <w:iCs/>
          <w:sz w:val="24"/>
          <w:szCs w:val="24"/>
          <w:lang w:val="es-ES_tradnl"/>
        </w:rPr>
        <w:t>Usurpación fraudulenta de inmuebles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para apropiarse en todo o en parte de bien inmueble, o para derivar provecho de él destruya, altere, o suprima los mojones o señales que fijan sus linderos, o los cambie de sitio, incurrirá en prisión de cuarenta y ocho (48) a cincuenta y cuatro (54) meses y multa de trece punto treinta y tres (13.33) a setenta y cinco (75)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con el mismo propósito se desarrollan acciones jurídicas induciendo a error o con la complicidad, favorecimiento o coautoría de la autoridad notarial o de registro de instrumentos públicos, la pena será de prisión entre cuatro y diez años.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 duplicará, si la usurpación se desarrolla mediante el uso de la violencia o valiéndose de cualquiera de las conductas establecidas</w:t>
      </w:r>
      <w:r w:rsidR="00224F3A" w:rsidRPr="00414BF5">
        <w:rPr>
          <w:rFonts w:ascii="Arial" w:eastAsia="Calibri" w:hAnsi="Arial" w:cs="Arial"/>
          <w:sz w:val="24"/>
          <w:szCs w:val="24"/>
          <w:lang w:val="es-ES_tradnl"/>
        </w:rPr>
        <w:t xml:space="preserve"> en el Título XII de este libro</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70. La Ley 599 de 2000 tendrá un nuevo artículo 591,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591. </w:t>
      </w:r>
      <w:r w:rsidRPr="00414BF5">
        <w:rPr>
          <w:rFonts w:ascii="Arial" w:eastAsia="Calibri" w:hAnsi="Arial" w:cs="Arial"/>
          <w:b/>
          <w:bCs/>
          <w:i/>
          <w:iCs/>
          <w:sz w:val="24"/>
          <w:szCs w:val="24"/>
          <w:lang w:val="es-ES_tradnl"/>
        </w:rPr>
        <w:t>Usurpación de aguas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con el fin de conseguir para sí o para otro un provecho ilícito y en perjuicio de tercero, desvíe el curso de las aguas públicas o privadas, o impida que corran por su cauce, o las utilice en mayor cantidad de la debida, o se apropie de terrenos de lagunas, ojos de agua, aguas subterráneas y demás fuentes hídricas, incurrirá en prisión de dieciséis (16) a cincuenta y cuatro (54) meses y multa de trece punto treinta y tres (13.33) a setenta y cinco (75)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71. La Ley 599 de 2000 tendrá un nuevo artículo 592,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592. </w:t>
      </w:r>
      <w:r w:rsidRPr="00414BF5">
        <w:rPr>
          <w:rFonts w:ascii="Arial" w:eastAsia="Calibri" w:hAnsi="Arial" w:cs="Arial"/>
          <w:b/>
          <w:bCs/>
          <w:i/>
          <w:iCs/>
          <w:sz w:val="24"/>
          <w:szCs w:val="24"/>
          <w:lang w:val="es-ES_tradnl"/>
        </w:rPr>
        <w:t>Invasión de tierras o edificaciones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con el propósito de obtener para sí o para un tercero provecho il</w:t>
      </w:r>
      <w:r w:rsidR="00224F3A" w:rsidRPr="00414BF5">
        <w:rPr>
          <w:rFonts w:ascii="Arial" w:eastAsia="Calibri" w:hAnsi="Arial" w:cs="Arial"/>
          <w:sz w:val="24"/>
          <w:szCs w:val="24"/>
          <w:lang w:val="es-ES_tradnl"/>
        </w:rPr>
        <w:t>ícito, invada te</w:t>
      </w:r>
      <w:r w:rsidRPr="00414BF5">
        <w:rPr>
          <w:rFonts w:ascii="Arial" w:eastAsia="Calibri" w:hAnsi="Arial" w:cs="Arial"/>
          <w:sz w:val="24"/>
          <w:szCs w:val="24"/>
          <w:lang w:val="es-ES_tradnl"/>
        </w:rPr>
        <w:t>rreno o edificación ajenos, incurrirá en prisión de treinta y dos (32) a noventa (90) meses y multa de sesenta y seis punto sesenta y seis (66.66) a trescientos (300)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establecida en el inciso anterior será de cuatro (4) a ocho (8) años de prisión para el promotor, organizador o director de la invasión.</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mismo incremento de la pena se aplicará cuando la invasión se produzca sobre terrenos ubicados en zona rural.</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Las penas señaladas en los incisos precedentes se rebajarán hasta en las dos terceras partes, cuando antes de pronunciarse sentencia de primera o única instancia, cesen los actos de invasión y se produzca el desalojo total de los terrenos y edificaciones que hubieren si</w:t>
      </w:r>
      <w:r w:rsidR="00224F3A" w:rsidRPr="00414BF5">
        <w:rPr>
          <w:rFonts w:ascii="Arial" w:eastAsia="Calibri" w:hAnsi="Arial" w:cs="Arial"/>
          <w:sz w:val="24"/>
          <w:szCs w:val="24"/>
          <w:lang w:val="es-ES_tradnl"/>
        </w:rPr>
        <w:t>do invadidos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72. La Ley 599 de 2000 tendrá un nuevo artículo 593,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593. </w:t>
      </w:r>
      <w:r w:rsidRPr="00414BF5">
        <w:rPr>
          <w:rFonts w:ascii="Arial" w:eastAsia="Calibri" w:hAnsi="Arial" w:cs="Arial"/>
          <w:b/>
          <w:bCs/>
          <w:i/>
          <w:iCs/>
          <w:sz w:val="24"/>
          <w:szCs w:val="24"/>
          <w:lang w:val="es-ES_tradnl"/>
        </w:rPr>
        <w:t>Perturbación de la posesión sobre inmueble</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que fuera de los casos previstos en el artículo anterior y por medio de violencia sobre las personas o las cosas, perturbe la pacífica posesión que otro tenga de bienes inmuebles, incurrirá en prisión de dieciséis (16) a treinta y seis (36) meses, y multa de seis punto sesenta y seis (6.66) a treinta (30) salarios mín</w:t>
      </w:r>
      <w:r w:rsidR="00224F3A" w:rsidRPr="00414BF5">
        <w:rPr>
          <w:rFonts w:ascii="Arial" w:eastAsia="Calibri" w:hAnsi="Arial" w:cs="Arial"/>
          <w:sz w:val="24"/>
          <w:szCs w:val="24"/>
          <w:lang w:val="es-ES_tradnl"/>
        </w:rPr>
        <w:t>imos legales mensuales vigentes</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73. La Ley 599 de 2000 tendrá un nuevo artículo 594,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594. </w:t>
      </w:r>
      <w:r w:rsidRPr="00414BF5">
        <w:rPr>
          <w:rFonts w:ascii="Arial" w:eastAsia="Calibri" w:hAnsi="Arial" w:cs="Arial"/>
          <w:b/>
          <w:bCs/>
          <w:i/>
          <w:iCs/>
          <w:sz w:val="24"/>
          <w:szCs w:val="24"/>
          <w:lang w:val="es-ES_tradnl"/>
        </w:rPr>
        <w:t>Daño contravencional en bien ajeno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destruya, inutilice, haga desaparecer o de cualquier otro modo dañe bien ajeno, mueble o inmueble incurrirá en prisión de dieciséis (16) a noventa (90) meses y multa de seis punto sesenta y seis (6.66) a treinta y siete punto cinco (37.5) salarios mínimos legales mensuales vigentes, siempre que la conducta no constituya conducta punible sancionada con pena mayor.</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pena será de dieciséis (16) a treinta y seis (36) meses de prisión y multa hasta de quince (15) salarios mínimos legales mensuales vigentes, cuando el monto del daño no exceda de diez (10) salarios mínimos legales mensuales vigentes.</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se resarciere el daño ocasionado al ofendido o perjudicado antes de proferirse sentencia de primera o única instancia, habrá lugar al proferimiento de resolución inhibitoria, preclusión de la investigac</w:t>
      </w:r>
      <w:r w:rsidR="00224F3A" w:rsidRPr="00414BF5">
        <w:rPr>
          <w:rFonts w:ascii="Arial" w:eastAsia="Calibri" w:hAnsi="Arial" w:cs="Arial"/>
          <w:sz w:val="24"/>
          <w:szCs w:val="24"/>
          <w:lang w:val="es-ES_tradnl"/>
        </w:rPr>
        <w:t>ión o cesación de procedimiento</w:t>
      </w:r>
      <w:r w:rsidRPr="00414BF5">
        <w:rPr>
          <w:rFonts w:ascii="Arial" w:eastAsia="Calibri" w:hAnsi="Arial" w:cs="Arial"/>
          <w:sz w:val="24"/>
          <w:szCs w:val="24"/>
          <w:lang w:val="es-ES_tradnl"/>
        </w:rPr>
        <w:t>.</w:t>
      </w:r>
    </w:p>
    <w:p w:rsidR="00224F3A" w:rsidRPr="00414BF5" w:rsidRDefault="00224F3A" w:rsidP="00704C86">
      <w:pPr>
        <w:spacing w:after="0" w:line="240" w:lineRule="auto"/>
        <w:jc w:val="both"/>
        <w:rPr>
          <w:rFonts w:ascii="Arial" w:eastAsia="Calibri" w:hAnsi="Arial" w:cs="Arial"/>
          <w:sz w:val="24"/>
          <w:szCs w:val="24"/>
          <w:lang w:val="es-ES_tradnl"/>
        </w:rPr>
      </w:pP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74. La Ley 599 de 2000 tendrá un nuevo artículo 595, así:</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595. </w:t>
      </w:r>
      <w:r w:rsidRPr="00414BF5">
        <w:rPr>
          <w:rFonts w:ascii="Arial" w:eastAsia="Calibri" w:hAnsi="Arial" w:cs="Arial"/>
          <w:b/>
          <w:bCs/>
          <w:i/>
          <w:iCs/>
          <w:sz w:val="24"/>
          <w:szCs w:val="24"/>
          <w:lang w:val="es-ES_tradnl"/>
        </w:rPr>
        <w:t>Disposiciones comunes a este título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Las penas para las contravenciones descritas en los artículos anteriores, se aumentarán de una tercera parte a la mitad cuando la conducta se cometa:</w:t>
      </w:r>
    </w:p>
    <w:p w:rsidR="00224F3A" w:rsidRPr="00414BF5" w:rsidRDefault="00224F3A" w:rsidP="00704C86">
      <w:pPr>
        <w:spacing w:after="0" w:line="240" w:lineRule="auto"/>
        <w:jc w:val="both"/>
        <w:rPr>
          <w:rFonts w:ascii="Arial" w:eastAsia="Calibri" w:hAnsi="Arial" w:cs="Arial"/>
          <w:sz w:val="24"/>
          <w:szCs w:val="24"/>
          <w:lang w:val="es-CO"/>
        </w:rPr>
      </w:pPr>
    </w:p>
    <w:p w:rsidR="00704C86" w:rsidRPr="00414BF5" w:rsidRDefault="00704C86" w:rsidP="00224F3A">
      <w:pPr>
        <w:pStyle w:val="Prrafodelista"/>
        <w:numPr>
          <w:ilvl w:val="0"/>
          <w:numId w:val="31"/>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Sobre una cosa cuyo valor fuere superior a cien (100) salarios mínimos legales mensuales vigentes, o que siendo inferior, haya ocasionado grave daño a la víctima, atendida su situación económica.</w:t>
      </w:r>
    </w:p>
    <w:p w:rsidR="00224F3A" w:rsidRPr="00414BF5" w:rsidRDefault="00224F3A" w:rsidP="00224F3A">
      <w:pPr>
        <w:pStyle w:val="Prrafodelista"/>
        <w:spacing w:after="0" w:line="240" w:lineRule="auto"/>
        <w:jc w:val="both"/>
        <w:rPr>
          <w:rFonts w:ascii="Arial" w:eastAsia="Calibri" w:hAnsi="Arial" w:cs="Arial"/>
          <w:sz w:val="24"/>
          <w:szCs w:val="24"/>
          <w:lang w:val="es-CO"/>
        </w:rPr>
      </w:pPr>
    </w:p>
    <w:p w:rsidR="00704C86" w:rsidRPr="00414BF5" w:rsidRDefault="00704C86" w:rsidP="00224F3A">
      <w:pPr>
        <w:pStyle w:val="Prrafodelista"/>
        <w:numPr>
          <w:ilvl w:val="0"/>
          <w:numId w:val="31"/>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Sobre bienes del Estado.</w:t>
      </w:r>
    </w:p>
    <w:p w:rsidR="00224F3A" w:rsidRPr="00414BF5" w:rsidRDefault="00224F3A" w:rsidP="00224F3A">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lastRenderedPageBreak/>
        <w:t>Las penas se disminuirán de una tercera parte a la mitad, cuando la conducta se cometa sobre cosa cuyo valor sea inferior a un (1) salario mínimo legal mensual, siempre que el agente no tenga antecedentes penales y que no haya ocasionado grave daño a la víctima, atendida su situación económica.</w:t>
      </w:r>
    </w:p>
    <w:p w:rsidR="00EE4E10" w:rsidRPr="00414BF5" w:rsidRDefault="00EE4E10"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juez disminuirá las penas de la mitad a las tres cuartas partes, si antes de dictarse sentencia de primera o única instancia, el responsable restituyere el objeto material del delito o su valor, e indemnizare los perjuicios ocasio</w:t>
      </w:r>
      <w:r w:rsidR="00EE4E10" w:rsidRPr="00414BF5">
        <w:rPr>
          <w:rFonts w:ascii="Arial" w:eastAsia="Calibri" w:hAnsi="Arial" w:cs="Arial"/>
          <w:sz w:val="24"/>
          <w:szCs w:val="24"/>
          <w:lang w:val="es-ES_tradnl"/>
        </w:rPr>
        <w:t>nados al ofendido o perjudicado</w:t>
      </w:r>
      <w:r w:rsidRPr="00414BF5">
        <w:rPr>
          <w:rFonts w:ascii="Arial" w:eastAsia="Calibri" w:hAnsi="Arial" w:cs="Arial"/>
          <w:sz w:val="24"/>
          <w:szCs w:val="24"/>
          <w:lang w:val="es-ES_tradnl"/>
        </w:rPr>
        <w:t>.</w:t>
      </w:r>
    </w:p>
    <w:p w:rsidR="00EE4E10" w:rsidRPr="00414BF5" w:rsidRDefault="00EE4E10" w:rsidP="00704C86">
      <w:pPr>
        <w:spacing w:after="0" w:line="240" w:lineRule="auto"/>
        <w:jc w:val="both"/>
        <w:rPr>
          <w:rFonts w:ascii="Arial" w:eastAsia="Calibri" w:hAnsi="Arial" w:cs="Arial"/>
          <w:sz w:val="24"/>
          <w:szCs w:val="24"/>
          <w:lang w:val="es-ES_tradnl"/>
        </w:rPr>
      </w:pPr>
    </w:p>
    <w:p w:rsidR="00EE4E10" w:rsidRPr="00414BF5" w:rsidRDefault="00EE4E10"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75. La Ley 599 de 2000 tendrá un nuevo Título XX dentro de su Libro Tercero, con el siguiente nombre:</w:t>
      </w:r>
    </w:p>
    <w:p w:rsidR="00EE4E10" w:rsidRPr="00414BF5" w:rsidRDefault="00EE4E10" w:rsidP="00704C86">
      <w:pPr>
        <w:spacing w:after="0" w:line="240" w:lineRule="auto"/>
        <w:jc w:val="both"/>
        <w:rPr>
          <w:rFonts w:ascii="Arial" w:eastAsia="Calibri" w:hAnsi="Arial" w:cs="Arial"/>
          <w:sz w:val="24"/>
          <w:szCs w:val="24"/>
          <w:lang w:val="es-CO"/>
        </w:rPr>
      </w:pPr>
    </w:p>
    <w:p w:rsidR="00704C86" w:rsidRPr="00414BF5" w:rsidRDefault="00704C86" w:rsidP="00EE4E10">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X</w:t>
      </w:r>
    </w:p>
    <w:p w:rsidR="00704C86" w:rsidRPr="00414BF5" w:rsidRDefault="00704C86" w:rsidP="00EE4E10">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w:t>
      </w:r>
      <w:r w:rsidR="00EE4E10" w:rsidRPr="00414BF5">
        <w:rPr>
          <w:rFonts w:ascii="Arial" w:eastAsia="Calibri" w:hAnsi="Arial" w:cs="Arial"/>
          <w:sz w:val="24"/>
          <w:szCs w:val="24"/>
          <w:lang w:val="es-ES_tradnl"/>
        </w:rPr>
        <w:t>VENCIONES CONTRA </w:t>
      </w:r>
      <w:r w:rsidR="00EE4E10" w:rsidRPr="00414BF5">
        <w:rPr>
          <w:rFonts w:ascii="Arial" w:eastAsia="Calibri" w:hAnsi="Arial" w:cs="Arial"/>
          <w:sz w:val="24"/>
          <w:szCs w:val="24"/>
          <w:lang w:val="es-ES_tradnl"/>
        </w:rPr>
        <w:br/>
        <w:t>LA FE PÚBLICA</w:t>
      </w:r>
    </w:p>
    <w:p w:rsidR="00EE4E10" w:rsidRPr="00414BF5" w:rsidRDefault="00EE4E10" w:rsidP="00704C86">
      <w:pPr>
        <w:spacing w:after="0" w:line="240" w:lineRule="auto"/>
        <w:jc w:val="both"/>
        <w:rPr>
          <w:rFonts w:ascii="Arial" w:eastAsia="Calibri" w:hAnsi="Arial" w:cs="Arial"/>
          <w:sz w:val="24"/>
          <w:szCs w:val="24"/>
          <w:lang w:val="es-ES_tradnl"/>
        </w:rPr>
      </w:pPr>
    </w:p>
    <w:p w:rsidR="00EE4E10" w:rsidRPr="00414BF5" w:rsidRDefault="00EE4E10"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76. La Ley 599 de 2000 tendrá un nuevo artículo 596,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596. </w:t>
      </w:r>
      <w:r w:rsidRPr="00414BF5">
        <w:rPr>
          <w:rFonts w:ascii="Arial" w:eastAsia="Calibri" w:hAnsi="Arial" w:cs="Arial"/>
          <w:b/>
          <w:bCs/>
          <w:i/>
          <w:iCs/>
          <w:sz w:val="24"/>
          <w:szCs w:val="24"/>
          <w:lang w:val="es-ES_tradnl"/>
        </w:rPr>
        <w:t>Falsificación o uso fraudulento de sello oficial</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falsifique sello oficial o use fraudulentamente el legítimo, en los casos que legalmente s</w:t>
      </w:r>
      <w:r w:rsidR="005E03BB" w:rsidRPr="00414BF5">
        <w:rPr>
          <w:rFonts w:ascii="Arial" w:eastAsia="Calibri" w:hAnsi="Arial" w:cs="Arial"/>
          <w:sz w:val="24"/>
          <w:szCs w:val="24"/>
          <w:lang w:val="es-ES_tradnl"/>
        </w:rPr>
        <w:t>e requieran,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77. La Ley 599 de 2000 tendrá un nuevo artículo 597,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597. </w:t>
      </w:r>
      <w:r w:rsidRPr="00414BF5">
        <w:rPr>
          <w:rFonts w:ascii="Arial" w:eastAsia="Calibri" w:hAnsi="Arial" w:cs="Arial"/>
          <w:b/>
          <w:bCs/>
          <w:i/>
          <w:iCs/>
          <w:sz w:val="24"/>
          <w:szCs w:val="24"/>
          <w:lang w:val="es-ES_tradnl"/>
        </w:rPr>
        <w:t>Circulación y uso de efecto oficial o sello falsificado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sin haber concurrido a la falsificación use o haga circular sello oficial o estampi</w:t>
      </w:r>
      <w:r w:rsidR="005E03BB" w:rsidRPr="00414BF5">
        <w:rPr>
          <w:rFonts w:ascii="Arial" w:eastAsia="Calibri" w:hAnsi="Arial" w:cs="Arial"/>
          <w:sz w:val="24"/>
          <w:szCs w:val="24"/>
          <w:lang w:val="es-ES_tradnl"/>
        </w:rPr>
        <w:t>lla oficial,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78. La Ley 599 de 2000 tendrá un nuevo artículo 598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598. </w:t>
      </w:r>
      <w:r w:rsidRPr="00414BF5">
        <w:rPr>
          <w:rFonts w:ascii="Arial" w:eastAsia="Calibri" w:hAnsi="Arial" w:cs="Arial"/>
          <w:b/>
          <w:bCs/>
          <w:i/>
          <w:iCs/>
          <w:sz w:val="24"/>
          <w:szCs w:val="24"/>
          <w:lang w:val="es-ES_tradnl"/>
        </w:rPr>
        <w:t>Supresión de signo de anulación de efecto oficial</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suprima leyenda, sello o signo de anulación de estampi</w:t>
      </w:r>
      <w:r w:rsidR="005E03BB" w:rsidRPr="00414BF5">
        <w:rPr>
          <w:rFonts w:ascii="Arial" w:eastAsia="Calibri" w:hAnsi="Arial" w:cs="Arial"/>
          <w:sz w:val="24"/>
          <w:szCs w:val="24"/>
          <w:lang w:val="es-ES_tradnl"/>
        </w:rPr>
        <w:t>lla oficial,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79. La Ley 599 de 2000 tendrá un nuevo artículo 599,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599</w:t>
      </w:r>
      <w:r w:rsidRPr="00414BF5">
        <w:rPr>
          <w:rFonts w:ascii="Arial" w:eastAsia="Calibri" w:hAnsi="Arial" w:cs="Arial"/>
          <w:b/>
          <w:bCs/>
          <w:i/>
          <w:iCs/>
          <w:sz w:val="24"/>
          <w:szCs w:val="24"/>
          <w:lang w:val="es-ES_tradnl"/>
        </w:rPr>
        <w:t>. Uso y circulación de efecto oficial anulado.</w:t>
      </w:r>
      <w:r w:rsidRPr="00414BF5">
        <w:rPr>
          <w:rFonts w:ascii="Arial" w:eastAsia="Calibri" w:hAnsi="Arial" w:cs="Arial"/>
          <w:sz w:val="24"/>
          <w:szCs w:val="24"/>
          <w:lang w:val="es-ES_tradnl"/>
        </w:rPr>
        <w:t> El que use o ponga en circulación efecto oficial a que se refiere el artícu</w:t>
      </w:r>
      <w:r w:rsidR="005E03BB" w:rsidRPr="00414BF5">
        <w:rPr>
          <w:rFonts w:ascii="Arial" w:eastAsia="Calibri" w:hAnsi="Arial" w:cs="Arial"/>
          <w:sz w:val="24"/>
          <w:szCs w:val="24"/>
          <w:lang w:val="es-ES_tradnl"/>
        </w:rPr>
        <w:t>lo anterior,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80. La Ley 599 de 2000 tendrá un nuevo artículo 600,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600. </w:t>
      </w:r>
      <w:r w:rsidRPr="00414BF5">
        <w:rPr>
          <w:rFonts w:ascii="Arial" w:eastAsia="Calibri" w:hAnsi="Arial" w:cs="Arial"/>
          <w:b/>
          <w:bCs/>
          <w:i/>
          <w:iCs/>
          <w:sz w:val="24"/>
          <w:szCs w:val="24"/>
          <w:lang w:val="es-ES_tradnl"/>
        </w:rPr>
        <w:t>Falsedad para obtener prueba de hecho verdadero</w:t>
      </w:r>
      <w:r w:rsidRPr="00414BF5">
        <w:rPr>
          <w:rFonts w:ascii="Arial" w:eastAsia="Calibri" w:hAnsi="Arial" w:cs="Arial"/>
          <w:sz w:val="24"/>
          <w:szCs w:val="24"/>
          <w:lang w:val="es-ES_tradnl"/>
        </w:rPr>
        <w:t>. El que realice una de las conductas descritas en este título, con el fin de obtener para sí o para otro medio de prueba de hech</w:t>
      </w:r>
      <w:r w:rsidR="005E03BB" w:rsidRPr="00414BF5">
        <w:rPr>
          <w:rFonts w:ascii="Arial" w:eastAsia="Calibri" w:hAnsi="Arial" w:cs="Arial"/>
          <w:sz w:val="24"/>
          <w:szCs w:val="24"/>
          <w:lang w:val="es-ES_tradnl"/>
        </w:rPr>
        <w:t>o verdadero,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81. La Ley 599 de 2000 tendrá un nuevo artículo 601,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601. </w:t>
      </w:r>
      <w:r w:rsidRPr="00414BF5">
        <w:rPr>
          <w:rFonts w:ascii="Arial" w:eastAsia="Calibri" w:hAnsi="Arial" w:cs="Arial"/>
          <w:b/>
          <w:bCs/>
          <w:i/>
          <w:iCs/>
          <w:sz w:val="24"/>
          <w:szCs w:val="24"/>
          <w:lang w:val="es-ES_tradnl"/>
        </w:rPr>
        <w:t>Falsedad personal.</w:t>
      </w:r>
      <w:r w:rsidRPr="00414BF5">
        <w:rPr>
          <w:rFonts w:ascii="Arial" w:eastAsia="Calibri" w:hAnsi="Arial" w:cs="Arial"/>
          <w:sz w:val="24"/>
          <w:szCs w:val="24"/>
          <w:lang w:val="es-ES_tradnl"/>
        </w:rPr>
        <w:t> El que con el fin de obtener un provecho para sí o para otro, o causar daño, sustituya o suplante a una persona o se atribuya nombre, edad, estado civil, o calidad que pueda tener efectos jurídicos, incurrirá en multa, siempre que la con</w:t>
      </w:r>
      <w:r w:rsidR="005E03BB" w:rsidRPr="00414BF5">
        <w:rPr>
          <w:rFonts w:ascii="Arial" w:eastAsia="Calibri" w:hAnsi="Arial" w:cs="Arial"/>
          <w:sz w:val="24"/>
          <w:szCs w:val="24"/>
          <w:lang w:val="es-ES_tradnl"/>
        </w:rPr>
        <w:t>ducta no constituya otro delito</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82. La Ley 599 de 2000 tendrá un nuevo Título XXI dentro de su Libro Tercero, con el siguiente nombre:</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5E03BB">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XI</w:t>
      </w:r>
    </w:p>
    <w:p w:rsidR="00704C86" w:rsidRPr="00414BF5" w:rsidRDefault="00704C86" w:rsidP="005E03BB">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EL ORDEN ECONÓMICO SOCIAL</w:t>
      </w:r>
    </w:p>
    <w:p w:rsidR="005E03BB" w:rsidRPr="00414BF5" w:rsidRDefault="005E03BB" w:rsidP="005E03BB">
      <w:pPr>
        <w:spacing w:after="0" w:line="240" w:lineRule="auto"/>
        <w:jc w:val="center"/>
        <w:rPr>
          <w:rFonts w:ascii="Arial" w:eastAsia="Calibri" w:hAnsi="Arial" w:cs="Arial"/>
          <w:sz w:val="24"/>
          <w:szCs w:val="24"/>
          <w:lang w:val="es-ES_tradnl"/>
        </w:rPr>
      </w:pPr>
    </w:p>
    <w:p w:rsidR="005E03BB" w:rsidRPr="00414BF5" w:rsidRDefault="005E03BB" w:rsidP="005E03BB">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83. La Ley 599 de 2000 tendrá un nuevo artículo 602,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602. </w:t>
      </w:r>
      <w:r w:rsidRPr="00414BF5">
        <w:rPr>
          <w:rFonts w:ascii="Arial" w:eastAsia="Calibri" w:hAnsi="Arial" w:cs="Arial"/>
          <w:b/>
          <w:bCs/>
          <w:i/>
          <w:iCs/>
          <w:sz w:val="24"/>
          <w:szCs w:val="24"/>
          <w:lang w:val="es-ES_tradnl"/>
        </w:rPr>
        <w:t>Ofrecimiento engañoso de productos y servicios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productor, distribuidor, proveedor, comerciante, importador, expendedor o intermediario que ofrezca al público bienes o servicios en forma masiva, sin que los mismos correspondan a la calidad, cantidad, componente, peso, volumen, medida e idoneidad anunciada en marcas, leyendas, propaganda, registro, licencia o en la disposición que haya oficializado la norma técnica corr</w:t>
      </w:r>
      <w:r w:rsidR="005E03BB" w:rsidRPr="00414BF5">
        <w:rPr>
          <w:rFonts w:ascii="Arial" w:eastAsia="Calibri" w:hAnsi="Arial" w:cs="Arial"/>
          <w:sz w:val="24"/>
          <w:szCs w:val="24"/>
          <w:lang w:val="es-ES_tradnl"/>
        </w:rPr>
        <w:t>espondiente,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84. La Ley 599 de 2000 tendrá un nuevo artículo 603,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603. </w:t>
      </w:r>
      <w:r w:rsidRPr="00414BF5">
        <w:rPr>
          <w:rFonts w:ascii="Arial" w:eastAsia="Calibri" w:hAnsi="Arial" w:cs="Arial"/>
          <w:b/>
          <w:bCs/>
          <w:i/>
          <w:iCs/>
          <w:sz w:val="24"/>
          <w:szCs w:val="24"/>
          <w:lang w:val="es-ES_tradnl"/>
        </w:rPr>
        <w:t>Usura</w:t>
      </w:r>
      <w:r w:rsidRPr="00414BF5">
        <w:rPr>
          <w:rFonts w:ascii="Arial" w:eastAsia="Calibri" w:hAnsi="Arial" w:cs="Arial"/>
          <w:sz w:val="24"/>
          <w:szCs w:val="24"/>
          <w:lang w:val="es-ES_tradnl"/>
        </w:rPr>
        <w:t>. El que reciba o cobre, directa o indirectamente, a cambio de préstamo de dinero o por concepto de venta de bienes o servicios a plazo, utilidad o ventaja que exceda en la mitad del interés bancario corriente que para el período correspondiente estén cobrando los bancos, según certificación de la Superintendencia Financiera, cualquiera sea la forma utilizada para hacer constar la operación, ocultarla o disimularla, incurrirá en prisión de treinta y dos (32) a noventa (90) meses y multa de sesenta y seis punto sesenta y seis (66.66) a trescientos (300) salarios mínimos legales mensuales vigentes.</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 xml:space="preserve">El que compre cheque, sueldo, salario o prestación social en los términos y condiciones previstos en este artículo, incurrirá en prisión de cuarenta y ocho (48) a ciento veintiséis </w:t>
      </w:r>
      <w:r w:rsidRPr="00414BF5">
        <w:rPr>
          <w:rFonts w:ascii="Arial" w:eastAsia="Calibri" w:hAnsi="Arial" w:cs="Arial"/>
          <w:sz w:val="24"/>
          <w:szCs w:val="24"/>
          <w:lang w:val="es-ES_tradnl"/>
        </w:rPr>
        <w:lastRenderedPageBreak/>
        <w:t>(126) meses y multa de ciento treinta y tres punto treinta y tres (133.33) a seiscientos (600) salarios mínimos legales mensuales vigentes.</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 xml:space="preserve">Cuando la utilidad o ventaja triplique el interés bancario corriente que para el período correspondiente estén cobrando los bancos, según certificación de la Superintendencia Financiera o quien haga sus veces, la pena se aumentará de la </w:t>
      </w:r>
      <w:r w:rsidR="005E03BB" w:rsidRPr="00414BF5">
        <w:rPr>
          <w:rFonts w:ascii="Arial" w:eastAsia="Calibri" w:hAnsi="Arial" w:cs="Arial"/>
          <w:sz w:val="24"/>
          <w:szCs w:val="24"/>
          <w:lang w:val="es-ES_tradnl"/>
        </w:rPr>
        <w:t>mitad a las tres cuartas partes</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85. La Ley 599 de 2000 tendrá un nuevo Título XXII dentro de su Libro Tercero, con el siguiente nombre:</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5E03BB">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XII</w:t>
      </w:r>
    </w:p>
    <w:p w:rsidR="00704C86" w:rsidRPr="00414BF5" w:rsidRDefault="00704C86" w:rsidP="005E03BB">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w:t>
      </w:r>
      <w:r w:rsidRPr="00414BF5">
        <w:rPr>
          <w:rFonts w:ascii="Arial" w:eastAsia="Calibri" w:hAnsi="Arial" w:cs="Arial"/>
          <w:sz w:val="24"/>
          <w:szCs w:val="24"/>
          <w:lang w:val="es-ES_tradnl"/>
        </w:rPr>
        <w:br/>
        <w:t>LA SEGURIDAD PÚBLICA</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86. La Ley 599 de 2000 tendrá un nuevo artículo 604,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604. </w:t>
      </w:r>
      <w:r w:rsidRPr="00414BF5">
        <w:rPr>
          <w:rFonts w:ascii="Arial" w:eastAsia="Calibri" w:hAnsi="Arial" w:cs="Arial"/>
          <w:b/>
          <w:bCs/>
          <w:i/>
          <w:iCs/>
          <w:sz w:val="24"/>
          <w:szCs w:val="24"/>
          <w:lang w:val="es-ES_tradnl"/>
        </w:rPr>
        <w:t>Instigación a delinquir contravencional</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publica y directamente incite a otro u otros a la comisión de un determinado delito o género</w:t>
      </w:r>
      <w:r w:rsidR="005E03BB" w:rsidRPr="00414BF5">
        <w:rPr>
          <w:rFonts w:ascii="Arial" w:eastAsia="Calibri" w:hAnsi="Arial" w:cs="Arial"/>
          <w:sz w:val="24"/>
          <w:szCs w:val="24"/>
          <w:lang w:val="es-ES_tradnl"/>
        </w:rPr>
        <w:t xml:space="preserve"> de delitos,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87. La Ley 599 de 2000 tendrá un nuevo artículo 605,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605. </w:t>
      </w:r>
      <w:r w:rsidRPr="00414BF5">
        <w:rPr>
          <w:rFonts w:ascii="Arial" w:eastAsia="Calibri" w:hAnsi="Arial" w:cs="Arial"/>
          <w:b/>
          <w:bCs/>
          <w:i/>
          <w:iCs/>
          <w:sz w:val="24"/>
          <w:szCs w:val="24"/>
          <w:lang w:val="es-ES_tradnl"/>
        </w:rPr>
        <w:t>Pánico</w:t>
      </w:r>
      <w:r w:rsidRPr="00414BF5">
        <w:rPr>
          <w:rFonts w:ascii="Arial" w:eastAsia="Calibri" w:hAnsi="Arial" w:cs="Arial"/>
          <w:sz w:val="24"/>
          <w:szCs w:val="24"/>
          <w:lang w:val="es-ES_tradnl"/>
        </w:rPr>
        <w:t>. El que por cualquier medio suscite pánico en lugar público, abierto al público o en transport</w:t>
      </w:r>
      <w:r w:rsidR="005E03BB" w:rsidRPr="00414BF5">
        <w:rPr>
          <w:rFonts w:ascii="Arial" w:eastAsia="Calibri" w:hAnsi="Arial" w:cs="Arial"/>
          <w:sz w:val="24"/>
          <w:szCs w:val="24"/>
          <w:lang w:val="es-ES_tradnl"/>
        </w:rPr>
        <w:t>e colectivo,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88. La Ley 599 de 2000 tendrá un nuevo artículo 606,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606</w:t>
      </w:r>
      <w:r w:rsidRPr="00414BF5">
        <w:rPr>
          <w:rFonts w:ascii="Arial" w:eastAsia="Calibri" w:hAnsi="Arial" w:cs="Arial"/>
          <w:sz w:val="24"/>
          <w:szCs w:val="24"/>
          <w:lang w:val="es-ES_tradnl"/>
        </w:rPr>
        <w:t>. Porte de objetos peligrosos al interior de un escenario deportivo o cultural. El que porte o ingrese armas blancas u objetos peligrosos al interior de un escenario deportivo o cultural incurrirá en multa de cinco (5) a diez (10) salarios mínimos legales mensuales vigentes y prohibición de acudir al escenario deportivo o cultural de</w:t>
      </w:r>
      <w:r w:rsidR="005E03BB" w:rsidRPr="00414BF5">
        <w:rPr>
          <w:rFonts w:ascii="Arial" w:eastAsia="Calibri" w:hAnsi="Arial" w:cs="Arial"/>
          <w:sz w:val="24"/>
          <w:szCs w:val="24"/>
          <w:lang w:val="es-ES_tradnl"/>
        </w:rPr>
        <w:t xml:space="preserve"> seis (6) meses a tres (3) años</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89. La Ley 599 de 2000 tendrá un nuevo Título XXIII dentro de su Libro Tercero, con el siguiente nombre:</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5E03BB">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XIII</w:t>
      </w:r>
    </w:p>
    <w:p w:rsidR="00704C86" w:rsidRPr="00414BF5" w:rsidRDefault="00704C86" w:rsidP="005E03BB">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w:t>
      </w:r>
      <w:r w:rsidR="005E03BB" w:rsidRPr="00414BF5">
        <w:rPr>
          <w:rFonts w:ascii="Arial" w:eastAsia="Calibri" w:hAnsi="Arial" w:cs="Arial"/>
          <w:sz w:val="24"/>
          <w:szCs w:val="24"/>
          <w:lang w:val="es-ES_tradnl"/>
        </w:rPr>
        <w:t>NTRA LA </w:t>
      </w:r>
      <w:r w:rsidR="005E03BB" w:rsidRPr="00414BF5">
        <w:rPr>
          <w:rFonts w:ascii="Arial" w:eastAsia="Calibri" w:hAnsi="Arial" w:cs="Arial"/>
          <w:sz w:val="24"/>
          <w:szCs w:val="24"/>
          <w:lang w:val="es-ES_tradnl"/>
        </w:rPr>
        <w:br/>
        <w:t>ADMINISTRACIÓN PÚBLICA</w:t>
      </w:r>
    </w:p>
    <w:p w:rsidR="005E03BB" w:rsidRPr="00414BF5" w:rsidRDefault="005E03BB" w:rsidP="005E03BB">
      <w:pPr>
        <w:spacing w:after="0" w:line="240" w:lineRule="auto"/>
        <w:jc w:val="center"/>
        <w:rPr>
          <w:rFonts w:ascii="Arial" w:eastAsia="Calibri" w:hAnsi="Arial" w:cs="Arial"/>
          <w:sz w:val="24"/>
          <w:szCs w:val="24"/>
          <w:lang w:val="es-ES_tradnl"/>
        </w:rPr>
      </w:pPr>
    </w:p>
    <w:p w:rsidR="005E03BB" w:rsidRPr="00414BF5" w:rsidRDefault="005E03BB" w:rsidP="005E03BB">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90. La Ley 599 de 2000 tendrá un nuevo artículo 607,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607. </w:t>
      </w:r>
      <w:r w:rsidRPr="00414BF5">
        <w:rPr>
          <w:rFonts w:ascii="Arial" w:eastAsia="Calibri" w:hAnsi="Arial" w:cs="Arial"/>
          <w:b/>
          <w:bCs/>
          <w:i/>
          <w:iCs/>
          <w:sz w:val="24"/>
          <w:szCs w:val="24"/>
          <w:lang w:val="es-ES_tradnl"/>
        </w:rPr>
        <w:t>Abuso de autoridad por acto arbitrario e injusto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Servidor público que fuera de los casos especialmente previstos como conductas punibles, con ocasión de sus funciones o excediéndose en el ejercicio de ellas, cometa acto arbitrario e injusto, incurrirá en multa y pér</w:t>
      </w:r>
      <w:r w:rsidR="005E03BB" w:rsidRPr="00414BF5">
        <w:rPr>
          <w:rFonts w:ascii="Arial" w:eastAsia="Calibri" w:hAnsi="Arial" w:cs="Arial"/>
          <w:sz w:val="24"/>
          <w:szCs w:val="24"/>
          <w:lang w:val="es-ES_tradnl"/>
        </w:rPr>
        <w:t>dida del empleo o cargo público</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highlight w:val="yellow"/>
          <w:lang w:val="es-ES_tradnl"/>
        </w:rPr>
      </w:pPr>
    </w:p>
    <w:p w:rsidR="005E03BB" w:rsidRPr="00414BF5" w:rsidRDefault="005E03BB" w:rsidP="00704C86">
      <w:pPr>
        <w:spacing w:after="0" w:line="240" w:lineRule="auto"/>
        <w:jc w:val="both"/>
        <w:rPr>
          <w:rFonts w:ascii="Arial" w:eastAsia="Calibri" w:hAnsi="Arial" w:cs="Arial"/>
          <w:sz w:val="24"/>
          <w:szCs w:val="24"/>
          <w:highlight w:val="yellow"/>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Artículo 91. La Ley 599 de 2000 tendrá un nuevo artículo </w:t>
      </w:r>
      <w:r w:rsidR="00FF5209" w:rsidRPr="004C22C2">
        <w:rPr>
          <w:rFonts w:ascii="Arial" w:eastAsia="Calibri" w:hAnsi="Arial" w:cs="Arial"/>
          <w:sz w:val="24"/>
          <w:szCs w:val="24"/>
          <w:lang w:val="es-ES_tradnl"/>
        </w:rPr>
        <w:t>608</w:t>
      </w:r>
      <w:r w:rsidRPr="004C22C2">
        <w:rPr>
          <w:rFonts w:ascii="Arial" w:eastAsia="Calibri" w:hAnsi="Arial" w:cs="Arial"/>
          <w:sz w:val="24"/>
          <w:szCs w:val="24"/>
          <w:lang w:val="es-ES_tradnl"/>
        </w:rPr>
        <w:t>, así:</w:t>
      </w:r>
    </w:p>
    <w:p w:rsidR="005E03BB" w:rsidRPr="004C22C2" w:rsidRDefault="005E03BB"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F5209" w:rsidRPr="004C22C2">
        <w:rPr>
          <w:rFonts w:ascii="Arial" w:eastAsia="Calibri" w:hAnsi="Arial" w:cs="Arial"/>
          <w:b/>
          <w:bCs/>
          <w:sz w:val="24"/>
          <w:szCs w:val="24"/>
          <w:lang w:val="es-ES_tradnl"/>
        </w:rPr>
        <w:t>608</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Abuso contravencional de autoridad por omisión de denuncia</w:t>
      </w:r>
      <w:r w:rsidRPr="004C22C2">
        <w:rPr>
          <w:rFonts w:ascii="Arial" w:eastAsia="Calibri" w:hAnsi="Arial" w:cs="Arial"/>
          <w:sz w:val="24"/>
          <w:szCs w:val="24"/>
          <w:lang w:val="es-ES_tradnl"/>
        </w:rPr>
        <w:t>. El servidor público que teniendo conocimiento de la comisión de una conducta punible cuya averiguación deba adelantarse de oficio, no dé cuenta a la autoridad, incurrirá en multa y pér</w:t>
      </w:r>
      <w:r w:rsidR="005E03BB" w:rsidRPr="004C22C2">
        <w:rPr>
          <w:rFonts w:ascii="Arial" w:eastAsia="Calibri" w:hAnsi="Arial" w:cs="Arial"/>
          <w:sz w:val="24"/>
          <w:szCs w:val="24"/>
          <w:lang w:val="es-ES_tradnl"/>
        </w:rPr>
        <w:t>dida del empleo o cargo público</w:t>
      </w:r>
      <w:r w:rsidRPr="004C22C2">
        <w:rPr>
          <w:rFonts w:ascii="Arial" w:eastAsia="Calibri" w:hAnsi="Arial" w:cs="Arial"/>
          <w:sz w:val="24"/>
          <w:szCs w:val="24"/>
          <w:lang w:val="es-ES_tradnl"/>
        </w:rPr>
        <w:t>.</w:t>
      </w:r>
    </w:p>
    <w:p w:rsidR="005E03BB" w:rsidRPr="004C22C2" w:rsidRDefault="005E03BB" w:rsidP="00704C86">
      <w:pPr>
        <w:spacing w:after="0" w:line="240" w:lineRule="auto"/>
        <w:jc w:val="both"/>
        <w:rPr>
          <w:rFonts w:ascii="Arial" w:eastAsia="Calibri" w:hAnsi="Arial" w:cs="Arial"/>
          <w:sz w:val="24"/>
          <w:szCs w:val="24"/>
          <w:lang w:val="es-ES_tradnl"/>
        </w:rPr>
      </w:pPr>
    </w:p>
    <w:p w:rsidR="005E03BB" w:rsidRPr="004C22C2" w:rsidRDefault="005E03BB"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Artículo 92. La Ley 599 de 2000 tendrá un nuevo artículo </w:t>
      </w:r>
      <w:r w:rsidR="00FF5209" w:rsidRPr="004C22C2">
        <w:rPr>
          <w:rFonts w:ascii="Arial" w:eastAsia="Calibri" w:hAnsi="Arial" w:cs="Arial"/>
          <w:sz w:val="24"/>
          <w:szCs w:val="24"/>
          <w:lang w:val="es-ES_tradnl"/>
        </w:rPr>
        <w:t>609</w:t>
      </w:r>
      <w:r w:rsidRPr="004C22C2">
        <w:rPr>
          <w:rFonts w:ascii="Arial" w:eastAsia="Calibri" w:hAnsi="Arial" w:cs="Arial"/>
          <w:sz w:val="24"/>
          <w:szCs w:val="24"/>
          <w:lang w:val="es-ES_tradnl"/>
        </w:rPr>
        <w:t>, así:</w:t>
      </w:r>
    </w:p>
    <w:p w:rsidR="005E03BB" w:rsidRPr="004C22C2" w:rsidRDefault="005E03BB"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F5209" w:rsidRPr="004C22C2">
        <w:rPr>
          <w:rFonts w:ascii="Arial" w:eastAsia="Calibri" w:hAnsi="Arial" w:cs="Arial"/>
          <w:b/>
          <w:bCs/>
          <w:sz w:val="24"/>
          <w:szCs w:val="24"/>
          <w:lang w:val="es-ES_tradnl"/>
        </w:rPr>
        <w:t>609</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Revelación contravencional de secreto</w:t>
      </w:r>
      <w:r w:rsidRPr="004C22C2">
        <w:rPr>
          <w:rFonts w:ascii="Arial" w:eastAsia="Calibri" w:hAnsi="Arial" w:cs="Arial"/>
          <w:i/>
          <w:iCs/>
          <w:sz w:val="24"/>
          <w:szCs w:val="24"/>
          <w:lang w:val="es-ES_tradnl"/>
        </w:rPr>
        <w:t>.</w:t>
      </w:r>
      <w:r w:rsidRPr="004C22C2">
        <w:rPr>
          <w:rFonts w:ascii="Arial" w:eastAsia="Calibri" w:hAnsi="Arial" w:cs="Arial"/>
          <w:sz w:val="24"/>
          <w:szCs w:val="24"/>
          <w:lang w:val="es-ES_tradnl"/>
        </w:rPr>
        <w:t> El servidor público que indebidamente dé a conocer documento o noticia que deba mantener en secreto o reserva, incurrirá en multa y pér</w:t>
      </w:r>
      <w:r w:rsidR="005E03BB" w:rsidRPr="004C22C2">
        <w:rPr>
          <w:rFonts w:ascii="Arial" w:eastAsia="Calibri" w:hAnsi="Arial" w:cs="Arial"/>
          <w:sz w:val="24"/>
          <w:szCs w:val="24"/>
          <w:lang w:val="es-ES_tradnl"/>
        </w:rPr>
        <w:t>dida del empleo o cargo público</w:t>
      </w:r>
      <w:r w:rsidRPr="004C22C2">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highlight w:val="yellow"/>
          <w:lang w:val="es-ES_tradnl"/>
        </w:rPr>
      </w:pPr>
    </w:p>
    <w:p w:rsidR="005E03BB" w:rsidRPr="00414BF5" w:rsidRDefault="005E03BB" w:rsidP="00704C86">
      <w:pPr>
        <w:spacing w:after="0" w:line="240" w:lineRule="auto"/>
        <w:jc w:val="both"/>
        <w:rPr>
          <w:rFonts w:ascii="Arial" w:eastAsia="Calibri" w:hAnsi="Arial" w:cs="Arial"/>
          <w:sz w:val="24"/>
          <w:szCs w:val="24"/>
          <w:highlight w:val="yellow"/>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CO"/>
        </w:rPr>
        <w:t>Artículo 93. La Ley 599 de 2000 tendrá un nuevo artículo 610,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610. </w:t>
      </w:r>
      <w:r w:rsidRPr="00414BF5">
        <w:rPr>
          <w:rFonts w:ascii="Arial" w:eastAsia="Calibri" w:hAnsi="Arial" w:cs="Arial"/>
          <w:b/>
          <w:bCs/>
          <w:i/>
          <w:iCs/>
          <w:sz w:val="24"/>
          <w:szCs w:val="24"/>
          <w:lang w:val="es-ES_tradnl"/>
        </w:rPr>
        <w:t>Utilización de asunto sometido a secreto o reserva</w:t>
      </w:r>
      <w:r w:rsidRPr="00414BF5">
        <w:rPr>
          <w:rFonts w:ascii="Arial" w:eastAsia="Calibri" w:hAnsi="Arial" w:cs="Arial"/>
          <w:sz w:val="24"/>
          <w:szCs w:val="24"/>
          <w:lang w:val="es-ES_tradnl"/>
        </w:rPr>
        <w:t>. El servidor público que utilice en provecho propio o ajeno, descubrimiento científico, u otra información o dato llegados a su conocimiento por razón de sus funciones y que deban permanecer en secreto o reserva, incurrirá en multa y pérdida del empleo o cargo público, siempre que no constituya otra conducta pu</w:t>
      </w:r>
      <w:r w:rsidR="005E03BB" w:rsidRPr="00414BF5">
        <w:rPr>
          <w:rFonts w:ascii="Arial" w:eastAsia="Calibri" w:hAnsi="Arial" w:cs="Arial"/>
          <w:sz w:val="24"/>
          <w:szCs w:val="24"/>
          <w:lang w:val="es-ES_tradnl"/>
        </w:rPr>
        <w:t>nible sancionada con pena mayor</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94. La Ley 599 de 2000 tendrá un nuevo artículo 611,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611. </w:t>
      </w:r>
      <w:r w:rsidRPr="00414BF5">
        <w:rPr>
          <w:rFonts w:ascii="Arial" w:eastAsia="Calibri" w:hAnsi="Arial" w:cs="Arial"/>
          <w:b/>
          <w:bCs/>
          <w:i/>
          <w:iCs/>
          <w:sz w:val="24"/>
          <w:szCs w:val="24"/>
          <w:lang w:val="es-ES_tradnl"/>
        </w:rPr>
        <w:t>Utilización indebida de información oficial privilegiada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servidor público que como empleado o directivo o miembro de una junta u órgano de administración de cualquier entidad pública, que haga uso indebido de información que haya conocido por razón o con ocasión de sus funciones y que no sea objeto de conocimiento público, con el fin de obtener provecho para sí o para un tercero, sea este persona natural o jurídica, incurrirá en multa y pér</w:t>
      </w:r>
      <w:r w:rsidR="005E03BB" w:rsidRPr="00414BF5">
        <w:rPr>
          <w:rFonts w:ascii="Arial" w:eastAsia="Calibri" w:hAnsi="Arial" w:cs="Arial"/>
          <w:sz w:val="24"/>
          <w:szCs w:val="24"/>
          <w:lang w:val="es-ES_tradnl"/>
        </w:rPr>
        <w:t>dida del empleo o cargo público</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sz w:val="24"/>
          <w:szCs w:val="24"/>
          <w:lang w:val="es-ES_tradnl"/>
        </w:rPr>
        <w:t xml:space="preserve">Artículo 95. La Ley 599 de 2000 tendrá un nuevo artículo </w:t>
      </w:r>
      <w:r w:rsidR="00FF5209" w:rsidRPr="004C22C2">
        <w:rPr>
          <w:rFonts w:ascii="Arial" w:eastAsia="Calibri" w:hAnsi="Arial" w:cs="Arial"/>
          <w:sz w:val="24"/>
          <w:szCs w:val="24"/>
          <w:lang w:val="es-ES_tradnl"/>
        </w:rPr>
        <w:t>612</w:t>
      </w:r>
      <w:r w:rsidRPr="004C22C2">
        <w:rPr>
          <w:rFonts w:ascii="Arial" w:eastAsia="Calibri" w:hAnsi="Arial" w:cs="Arial"/>
          <w:sz w:val="24"/>
          <w:szCs w:val="24"/>
          <w:lang w:val="es-ES_tradnl"/>
        </w:rPr>
        <w:t>, así:</w:t>
      </w:r>
    </w:p>
    <w:p w:rsidR="005E03BB" w:rsidRPr="004C22C2"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F5209" w:rsidRPr="004C22C2">
        <w:rPr>
          <w:rFonts w:ascii="Arial" w:eastAsia="Calibri" w:hAnsi="Arial" w:cs="Arial"/>
          <w:b/>
          <w:bCs/>
          <w:sz w:val="24"/>
          <w:szCs w:val="24"/>
          <w:lang w:val="es-ES_tradnl"/>
        </w:rPr>
        <w:t>612</w:t>
      </w:r>
      <w:r w:rsidRPr="004C22C2">
        <w:rPr>
          <w:rFonts w:ascii="Arial" w:eastAsia="Calibri" w:hAnsi="Arial" w:cs="Arial"/>
          <w:b/>
          <w:bCs/>
          <w:sz w:val="24"/>
          <w:szCs w:val="24"/>
          <w:lang w:val="es-ES_tradnl"/>
        </w:rPr>
        <w:t>. </w:t>
      </w:r>
      <w:r w:rsidRPr="004C22C2">
        <w:rPr>
          <w:rFonts w:ascii="Arial" w:eastAsia="Calibri" w:hAnsi="Arial" w:cs="Arial"/>
          <w:b/>
          <w:bCs/>
          <w:i/>
          <w:iCs/>
          <w:sz w:val="24"/>
          <w:szCs w:val="24"/>
          <w:lang w:val="es-ES_tradnl"/>
        </w:rPr>
        <w:t>Asesoramiento contravencional y otras actuaciones ilegales</w:t>
      </w:r>
      <w:r w:rsidRPr="004C22C2">
        <w:rPr>
          <w:rFonts w:ascii="Arial" w:eastAsia="Calibri" w:hAnsi="Arial" w:cs="Arial"/>
          <w:sz w:val="24"/>
          <w:szCs w:val="24"/>
          <w:lang w:val="es-ES_tradnl"/>
        </w:rPr>
        <w:t>. El servidor público que ilegalmente represente, litigue, gestione o asesore en asunto judicia</w:t>
      </w:r>
      <w:r w:rsidR="005E03BB" w:rsidRPr="004C22C2">
        <w:rPr>
          <w:rFonts w:ascii="Arial" w:eastAsia="Calibri" w:hAnsi="Arial" w:cs="Arial"/>
          <w:sz w:val="24"/>
          <w:szCs w:val="24"/>
          <w:lang w:val="es-ES_tradnl"/>
        </w:rPr>
        <w:t>l, administrativo o policivo, i</w:t>
      </w:r>
      <w:r w:rsidRPr="004C22C2">
        <w:rPr>
          <w:rFonts w:ascii="Arial" w:eastAsia="Calibri" w:hAnsi="Arial" w:cs="Arial"/>
          <w:sz w:val="24"/>
          <w:szCs w:val="24"/>
          <w:lang w:val="es-ES_tradnl"/>
        </w:rPr>
        <w:t xml:space="preserve">ncurrirá en multa y pérdida del empleo </w:t>
      </w:r>
      <w:r w:rsidR="005E03BB" w:rsidRPr="004C22C2">
        <w:rPr>
          <w:rFonts w:ascii="Arial" w:eastAsia="Calibri" w:hAnsi="Arial" w:cs="Arial"/>
          <w:sz w:val="24"/>
          <w:szCs w:val="24"/>
          <w:lang w:val="es-ES_tradnl"/>
        </w:rPr>
        <w:t>o cargo público</w:t>
      </w:r>
      <w:r w:rsidRPr="004C22C2">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96. La Ley 599 de 2000 tendrá un nuevo artículo 613,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613. </w:t>
      </w:r>
      <w:r w:rsidRPr="00414BF5">
        <w:rPr>
          <w:rFonts w:ascii="Arial" w:eastAsia="Calibri" w:hAnsi="Arial" w:cs="Arial"/>
          <w:b/>
          <w:bCs/>
          <w:i/>
          <w:iCs/>
          <w:sz w:val="24"/>
          <w:szCs w:val="24"/>
          <w:lang w:val="es-ES_tradnl"/>
        </w:rPr>
        <w:t>Intervención en política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El servidor público que ejerza jurisdicción, autoridad civil o política, cargo de dirección administrativa, o se desempeñe en los órganos judicial, electoral, de control, que forme parte de comités, juntas o directorios políticos, o utilice su poder para favorecer o perjudicar electoralmente a un candidato, partido o movimiento político, incurrirá en multa y pérdida del empleo o cargo público.</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Se exceptúan de lo dispuesto en el inciso anterior los miembros de las corporacion</w:t>
      </w:r>
      <w:r w:rsidR="005E03BB" w:rsidRPr="00414BF5">
        <w:rPr>
          <w:rFonts w:ascii="Arial" w:eastAsia="Calibri" w:hAnsi="Arial" w:cs="Arial"/>
          <w:sz w:val="24"/>
          <w:szCs w:val="24"/>
          <w:lang w:val="es-ES_tradnl"/>
        </w:rPr>
        <w:t>es públicas de elección popular</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97. La Ley 599 de 2000 tendrá un nuevo artículo 614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614.</w:t>
      </w:r>
      <w:r w:rsidRPr="00414BF5">
        <w:rPr>
          <w:rFonts w:ascii="Arial" w:eastAsia="Calibri" w:hAnsi="Arial" w:cs="Arial"/>
          <w:b/>
          <w:bCs/>
          <w:i/>
          <w:iCs/>
          <w:sz w:val="24"/>
          <w:szCs w:val="24"/>
          <w:lang w:val="es-ES_tradnl"/>
        </w:rPr>
        <w:t> Utilización indebida de información obtenida en el ejercicio de función pública.</w:t>
      </w:r>
      <w:r w:rsidRPr="00414BF5">
        <w:rPr>
          <w:rFonts w:ascii="Arial" w:eastAsia="Calibri" w:hAnsi="Arial" w:cs="Arial"/>
          <w:sz w:val="24"/>
          <w:szCs w:val="24"/>
          <w:lang w:val="es-ES_tradnl"/>
        </w:rPr>
        <w:t> El que habiéndose desempeñado como servidor público durante el año inmediatamente anterior utilice, en provecho propio o de un tercero, información obtenida en calidad de tal y que no sea objeto de conocimiento público, inc</w:t>
      </w:r>
      <w:r w:rsidR="005E03BB" w:rsidRPr="00414BF5">
        <w:rPr>
          <w:rFonts w:ascii="Arial" w:eastAsia="Calibri" w:hAnsi="Arial" w:cs="Arial"/>
          <w:sz w:val="24"/>
          <w:szCs w:val="24"/>
          <w:lang w:val="es-ES_tradnl"/>
        </w:rPr>
        <w:t>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98. La Ley 599 de 2000 tendrá un nuevo artículo 615,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615. </w:t>
      </w:r>
      <w:r w:rsidRPr="00414BF5">
        <w:rPr>
          <w:rFonts w:ascii="Arial" w:eastAsia="Calibri" w:hAnsi="Arial" w:cs="Arial"/>
          <w:b/>
          <w:bCs/>
          <w:i/>
          <w:iCs/>
          <w:sz w:val="24"/>
          <w:szCs w:val="24"/>
          <w:lang w:val="es-ES_tradnl"/>
        </w:rPr>
        <w:t>Utilización indebida de influencias derivadas del ejercicio de función pública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habiéndose desempeñado como servidor público durante el año inmediatamente anterior utilice, en provecho propio o de un tercero, influencias derivadas del ejercicio del cargo o de la función cumplida, con el fin de obtener ventajas en un trám</w:t>
      </w:r>
      <w:r w:rsidR="005E03BB" w:rsidRPr="00414BF5">
        <w:rPr>
          <w:rFonts w:ascii="Arial" w:eastAsia="Calibri" w:hAnsi="Arial" w:cs="Arial"/>
          <w:sz w:val="24"/>
          <w:szCs w:val="24"/>
          <w:lang w:val="es-ES_tradnl"/>
        </w:rPr>
        <w:t>ite oficial,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99. La Ley 599 de 2000 tendrá un nuevo Título XXIV dentro de su Libro Tercero, con el siguiente nombre:</w:t>
      </w:r>
    </w:p>
    <w:p w:rsidR="005E03BB" w:rsidRPr="00414BF5" w:rsidRDefault="005E03BB" w:rsidP="00704C86">
      <w:pPr>
        <w:spacing w:after="0" w:line="240" w:lineRule="auto"/>
        <w:jc w:val="both"/>
        <w:rPr>
          <w:rFonts w:ascii="Arial" w:eastAsia="Calibri" w:hAnsi="Arial" w:cs="Arial"/>
          <w:sz w:val="24"/>
          <w:szCs w:val="24"/>
          <w:lang w:val="es-ES_tradnl"/>
        </w:rPr>
      </w:pPr>
    </w:p>
    <w:p w:rsidR="00704C86" w:rsidRPr="00414BF5" w:rsidRDefault="00704C86" w:rsidP="005E03BB">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XIV</w:t>
      </w:r>
    </w:p>
    <w:p w:rsidR="00704C86" w:rsidRPr="00414BF5" w:rsidRDefault="00704C86" w:rsidP="005E03BB">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 xml:space="preserve">CONTRAVENCIONES CONTRA LA EFICAZ </w:t>
      </w:r>
      <w:r w:rsidR="005E03BB" w:rsidRPr="00414BF5">
        <w:rPr>
          <w:rFonts w:ascii="Arial" w:eastAsia="Calibri" w:hAnsi="Arial" w:cs="Arial"/>
          <w:sz w:val="24"/>
          <w:szCs w:val="24"/>
          <w:lang w:val="es-ES_tradnl"/>
        </w:rPr>
        <w:t>Y RECTA IMPARTICIÓN DE JUSTICIA</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100. La Ley 599 de 2000 tendrá un nuevo artículo 616,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lastRenderedPageBreak/>
        <w:t>Artículo 616. </w:t>
      </w:r>
      <w:r w:rsidRPr="00414BF5">
        <w:rPr>
          <w:rFonts w:ascii="Arial" w:eastAsia="Calibri" w:hAnsi="Arial" w:cs="Arial"/>
          <w:b/>
          <w:bCs/>
          <w:i/>
          <w:iCs/>
          <w:sz w:val="24"/>
          <w:szCs w:val="24"/>
          <w:lang w:val="es-ES_tradnl"/>
        </w:rPr>
        <w:t>Falsa autoacusación</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ante autoridad se declare autor o partícipe de una conducta típica que no ha cometido, o en cuya comisión no ha tomado parte, incurrirá en prisión de dieciséis (16) a treinta y seis (36) meses y multa de dos punto sesenta y seis (2.66) a quince (15) salarios mínimos legales mensuales vigentes.</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para los efectos descritos en este artículo, el agente simula pruebas, las penas respectivas se aumentarán hasta en una tercera parte, siempre que no constituya otra conducta punible.</w:t>
      </w:r>
    </w:p>
    <w:p w:rsidR="00973CCA" w:rsidRPr="00414BF5" w:rsidRDefault="00973CC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Las penas previstas en los incisos anteriores se reducirán de una tercera parte a la mitad, si antes de vencerse la última oportunidad procesal para practicar pruebas, el autor se ret</w:t>
      </w:r>
      <w:r w:rsidR="005E03BB" w:rsidRPr="00414BF5">
        <w:rPr>
          <w:rFonts w:ascii="Arial" w:eastAsia="Calibri" w:hAnsi="Arial" w:cs="Arial"/>
          <w:sz w:val="24"/>
          <w:szCs w:val="24"/>
          <w:lang w:val="es-ES_tradnl"/>
        </w:rPr>
        <w:t>racta de la falsa autoacusación</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C22C2" w:rsidRDefault="00704C86" w:rsidP="00704C86">
      <w:pPr>
        <w:spacing w:after="0" w:line="240" w:lineRule="auto"/>
        <w:jc w:val="both"/>
        <w:rPr>
          <w:rFonts w:ascii="Arial" w:eastAsia="Calibri" w:hAnsi="Arial" w:cs="Arial"/>
          <w:sz w:val="24"/>
          <w:szCs w:val="24"/>
          <w:lang w:val="es-CO"/>
        </w:rPr>
      </w:pPr>
      <w:r w:rsidRPr="004C22C2">
        <w:rPr>
          <w:rFonts w:ascii="Arial" w:eastAsia="Calibri" w:hAnsi="Arial" w:cs="Arial"/>
          <w:b/>
          <w:bCs/>
          <w:sz w:val="24"/>
          <w:szCs w:val="24"/>
          <w:lang w:val="es-ES_tradnl"/>
        </w:rPr>
        <w:t>Artículo 101.</w:t>
      </w:r>
      <w:r w:rsidRPr="004C22C2">
        <w:rPr>
          <w:rFonts w:ascii="Arial" w:eastAsia="Calibri" w:hAnsi="Arial" w:cs="Arial"/>
          <w:sz w:val="24"/>
          <w:szCs w:val="24"/>
          <w:lang w:val="es-ES_tradnl"/>
        </w:rPr>
        <w:t xml:space="preserve"> La Ley 599 de 2000 tendrá un nuevo artículo </w:t>
      </w:r>
      <w:r w:rsidR="00FF5209" w:rsidRPr="004C22C2">
        <w:rPr>
          <w:rFonts w:ascii="Arial" w:eastAsia="Calibri" w:hAnsi="Arial" w:cs="Arial"/>
          <w:sz w:val="24"/>
          <w:szCs w:val="24"/>
          <w:lang w:val="es-ES_tradnl"/>
        </w:rPr>
        <w:t>617</w:t>
      </w:r>
      <w:r w:rsidRPr="004C22C2">
        <w:rPr>
          <w:rFonts w:ascii="Arial" w:eastAsia="Calibri" w:hAnsi="Arial" w:cs="Arial"/>
          <w:sz w:val="24"/>
          <w:szCs w:val="24"/>
          <w:lang w:val="es-ES_tradnl"/>
        </w:rPr>
        <w:t>, así:</w:t>
      </w:r>
    </w:p>
    <w:p w:rsidR="005E03BB" w:rsidRPr="004C22C2"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C22C2">
        <w:rPr>
          <w:rFonts w:ascii="Arial" w:eastAsia="Calibri" w:hAnsi="Arial" w:cs="Arial"/>
          <w:b/>
          <w:bCs/>
          <w:sz w:val="24"/>
          <w:szCs w:val="24"/>
          <w:lang w:val="es-ES_tradnl"/>
        </w:rPr>
        <w:t xml:space="preserve">Artículo </w:t>
      </w:r>
      <w:r w:rsidR="00FF5209" w:rsidRPr="004C22C2">
        <w:rPr>
          <w:rFonts w:ascii="Arial" w:eastAsia="Calibri" w:hAnsi="Arial" w:cs="Arial"/>
          <w:b/>
          <w:bCs/>
          <w:sz w:val="24"/>
          <w:szCs w:val="24"/>
          <w:lang w:val="es-ES_tradnl"/>
        </w:rPr>
        <w:t>617</w:t>
      </w:r>
      <w:r w:rsidRPr="004C22C2">
        <w:rPr>
          <w:rFonts w:ascii="Arial" w:eastAsia="Calibri" w:hAnsi="Arial" w:cs="Arial"/>
          <w:b/>
          <w:bCs/>
          <w:sz w:val="24"/>
          <w:szCs w:val="24"/>
          <w:lang w:val="es-ES_tradnl"/>
        </w:rPr>
        <w:t>. Reducción cualitativa de pena en caso de contravención no penal</w:t>
      </w:r>
      <w:r w:rsidRPr="004C22C2">
        <w:rPr>
          <w:rFonts w:ascii="Arial" w:eastAsia="Calibri" w:hAnsi="Arial" w:cs="Arial"/>
          <w:sz w:val="24"/>
          <w:szCs w:val="24"/>
          <w:lang w:val="es-ES_tradnl"/>
        </w:rPr>
        <w:t xml:space="preserve">. Si se tratara de una contravención no penal, la pena señalada en los artículos 435, 436 y </w:t>
      </w:r>
      <w:r w:rsidR="00505E8C" w:rsidRPr="004C22C2">
        <w:rPr>
          <w:rFonts w:ascii="Arial" w:eastAsia="Calibri" w:hAnsi="Arial" w:cs="Arial"/>
          <w:sz w:val="24"/>
          <w:szCs w:val="24"/>
          <w:lang w:val="es-ES_tradnl"/>
        </w:rPr>
        <w:t xml:space="preserve">616 </w:t>
      </w:r>
      <w:r w:rsidRPr="004C22C2">
        <w:rPr>
          <w:rFonts w:ascii="Arial" w:eastAsia="Calibri" w:hAnsi="Arial" w:cs="Arial"/>
          <w:sz w:val="24"/>
          <w:szCs w:val="24"/>
          <w:lang w:val="es-ES_tradnl"/>
        </w:rPr>
        <w:t xml:space="preserve">de este código será de multa, que ningún caso </w:t>
      </w:r>
      <w:r w:rsidR="005E03BB" w:rsidRPr="004C22C2">
        <w:rPr>
          <w:rFonts w:ascii="Arial" w:eastAsia="Calibri" w:hAnsi="Arial" w:cs="Arial"/>
          <w:sz w:val="24"/>
          <w:szCs w:val="24"/>
          <w:lang w:val="es-ES_tradnl"/>
        </w:rPr>
        <w:t>podrá ser inferior a una unidad</w:t>
      </w:r>
      <w:r w:rsidRPr="004C22C2">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b/>
          <w:bCs/>
          <w:sz w:val="24"/>
          <w:szCs w:val="24"/>
          <w:lang w:val="es-ES_tradnl"/>
        </w:rPr>
        <w:t>Artículo 102</w:t>
      </w:r>
      <w:r w:rsidRPr="00414BF5">
        <w:rPr>
          <w:rFonts w:ascii="Arial" w:eastAsia="Calibri" w:hAnsi="Arial" w:cs="Arial"/>
          <w:sz w:val="24"/>
          <w:szCs w:val="24"/>
          <w:lang w:val="es-ES_tradnl"/>
        </w:rPr>
        <w:t>. La Ley 599 de 2000 tendrá un nuevo artículo 618,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618. Infidelidad a los deberes profesionales</w:t>
      </w:r>
      <w:r w:rsidRPr="00414BF5">
        <w:rPr>
          <w:rFonts w:ascii="Arial" w:eastAsia="Calibri" w:hAnsi="Arial" w:cs="Arial"/>
          <w:sz w:val="24"/>
          <w:szCs w:val="24"/>
          <w:lang w:val="es-ES_tradnl"/>
        </w:rPr>
        <w:t>. El apoderado o mandatario que en asunto judicial o administrativo, por cualquier medio fraudulento, perjudique la gestión que se le hubiere confiado, o que en un mismo o diferentes asuntos defienda intereses contrarios o incompatibles surgidos de unos mismos supuestos de hecho, incurrirá en prisión de dieciséis (16) a setenta y dos (72) meses.</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la conducta se realiza en asunto penal, la pena imponible se aumen</w:t>
      </w:r>
      <w:r w:rsidR="005E03BB" w:rsidRPr="00414BF5">
        <w:rPr>
          <w:rFonts w:ascii="Arial" w:eastAsia="Calibri" w:hAnsi="Arial" w:cs="Arial"/>
          <w:sz w:val="24"/>
          <w:szCs w:val="24"/>
          <w:lang w:val="es-ES_tradnl"/>
        </w:rPr>
        <w:t>tará hasta en una tercera parte</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103.</w:t>
      </w:r>
      <w:r w:rsidRPr="00414BF5">
        <w:rPr>
          <w:rFonts w:ascii="Arial" w:eastAsia="Calibri" w:hAnsi="Arial" w:cs="Arial"/>
          <w:sz w:val="24"/>
          <w:szCs w:val="24"/>
          <w:lang w:val="es-ES_tradnl"/>
        </w:rPr>
        <w:t> La Ley 599 de 2000 tendrá un nuevo artículo 619,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619. Favorecimiento contravencional</w:t>
      </w:r>
      <w:r w:rsidRPr="00414BF5">
        <w:rPr>
          <w:rFonts w:ascii="Arial" w:eastAsia="Calibri" w:hAnsi="Arial" w:cs="Arial"/>
          <w:sz w:val="24"/>
          <w:szCs w:val="24"/>
          <w:lang w:val="es-ES_tradnl"/>
        </w:rPr>
        <w:t>. El que tenga conocimiento de la comisión de una contravención penal y sin concierto previo ayudare a eludir la acción de la autoridad o a entorpecer la investigación correspondie</w:t>
      </w:r>
      <w:r w:rsidR="005E03BB" w:rsidRPr="00414BF5">
        <w:rPr>
          <w:rFonts w:ascii="Arial" w:eastAsia="Calibri" w:hAnsi="Arial" w:cs="Arial"/>
          <w:sz w:val="24"/>
          <w:szCs w:val="24"/>
          <w:lang w:val="es-ES_tradnl"/>
        </w:rPr>
        <w:t>nte, incurrirá en pena de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104</w:t>
      </w:r>
      <w:r w:rsidRPr="00414BF5">
        <w:rPr>
          <w:rFonts w:ascii="Arial" w:eastAsia="Calibri" w:hAnsi="Arial" w:cs="Arial"/>
          <w:sz w:val="24"/>
          <w:szCs w:val="24"/>
          <w:lang w:val="es-ES_tradnl"/>
        </w:rPr>
        <w:t>. La Ley 599 de 2000 tendrá un nuevo artículo 620, así:</w:t>
      </w:r>
    </w:p>
    <w:p w:rsidR="00973CCA" w:rsidRPr="00414BF5" w:rsidRDefault="00973CCA"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620. </w:t>
      </w:r>
      <w:r w:rsidRPr="00414BF5">
        <w:rPr>
          <w:rFonts w:ascii="Arial" w:eastAsia="Calibri" w:hAnsi="Arial" w:cs="Arial"/>
          <w:b/>
          <w:bCs/>
          <w:i/>
          <w:iCs/>
          <w:sz w:val="24"/>
          <w:szCs w:val="24"/>
          <w:lang w:val="es-ES_tradnl"/>
        </w:rPr>
        <w:t>Favorecimiento culposo de la fuga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servidor público encargado de la vigilancia, custodia o conducción de un detenido o condenado que por culpa dé lugar a su fuga, incurrirá en multa y pér</w:t>
      </w:r>
      <w:r w:rsidR="005E03BB" w:rsidRPr="00414BF5">
        <w:rPr>
          <w:rFonts w:ascii="Arial" w:eastAsia="Calibri" w:hAnsi="Arial" w:cs="Arial"/>
          <w:sz w:val="24"/>
          <w:szCs w:val="24"/>
          <w:lang w:val="es-ES_tradnl"/>
        </w:rPr>
        <w:t>dida del empleo o cargo público</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105. La Ley 599 de 2000 tendrá un nuevo Título XXV dentro de su Libro Tercero, con el siguiente nombre:</w:t>
      </w:r>
    </w:p>
    <w:p w:rsidR="005E03BB" w:rsidRPr="00414BF5" w:rsidRDefault="005E03BB" w:rsidP="00704C86">
      <w:pPr>
        <w:spacing w:after="0" w:line="240" w:lineRule="auto"/>
        <w:jc w:val="both"/>
        <w:rPr>
          <w:rFonts w:ascii="Arial" w:eastAsia="Calibri" w:hAnsi="Arial" w:cs="Arial"/>
          <w:sz w:val="24"/>
          <w:szCs w:val="24"/>
          <w:lang w:val="es-ES_tradnl"/>
        </w:rPr>
      </w:pPr>
    </w:p>
    <w:p w:rsidR="00704C86" w:rsidRPr="00414BF5" w:rsidRDefault="00704C86" w:rsidP="005E03BB">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XV</w:t>
      </w:r>
    </w:p>
    <w:p w:rsidR="00704C86" w:rsidRPr="00414BF5" w:rsidRDefault="00704C86" w:rsidP="005E03BB">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CONTRAVENCIONES CONTRA LA </w:t>
      </w:r>
      <w:r w:rsidRPr="00414BF5">
        <w:rPr>
          <w:rFonts w:ascii="Arial" w:eastAsia="Calibri" w:hAnsi="Arial" w:cs="Arial"/>
          <w:sz w:val="24"/>
          <w:szCs w:val="24"/>
          <w:lang w:val="es-ES_tradnl"/>
        </w:rPr>
        <w:br/>
        <w:t>EX</w:t>
      </w:r>
      <w:r w:rsidR="005E03BB" w:rsidRPr="00414BF5">
        <w:rPr>
          <w:rFonts w:ascii="Arial" w:eastAsia="Calibri" w:hAnsi="Arial" w:cs="Arial"/>
          <w:sz w:val="24"/>
          <w:szCs w:val="24"/>
          <w:lang w:val="es-ES_tradnl"/>
        </w:rPr>
        <w:t>ISTENCIA Y SEGURIDAD DEL ESTADO</w:t>
      </w:r>
    </w:p>
    <w:p w:rsidR="005E03BB" w:rsidRPr="00414BF5" w:rsidRDefault="005E03BB" w:rsidP="005E03BB">
      <w:pPr>
        <w:spacing w:after="0" w:line="240" w:lineRule="auto"/>
        <w:jc w:val="center"/>
        <w:rPr>
          <w:rFonts w:ascii="Arial" w:eastAsia="Calibri" w:hAnsi="Arial" w:cs="Arial"/>
          <w:sz w:val="24"/>
          <w:szCs w:val="24"/>
          <w:lang w:val="es-ES_tradnl"/>
        </w:rPr>
      </w:pPr>
    </w:p>
    <w:p w:rsidR="005E03BB" w:rsidRPr="00414BF5" w:rsidRDefault="005E03BB" w:rsidP="005E03BB">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106. La Ley 599 de 2000 tendrá un nuevo artículo 621, así:</w:t>
      </w: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621. </w:t>
      </w:r>
      <w:r w:rsidRPr="00414BF5">
        <w:rPr>
          <w:rFonts w:ascii="Arial" w:eastAsia="Calibri" w:hAnsi="Arial" w:cs="Arial"/>
          <w:b/>
          <w:bCs/>
          <w:i/>
          <w:iCs/>
          <w:sz w:val="24"/>
          <w:szCs w:val="24"/>
          <w:lang w:val="es-ES_tradnl"/>
        </w:rPr>
        <w:t>Aceptación indebida de honores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colombiano que acepte cargo, honor, distinción o merced de Estado en hostilidad, guerra o conflicto armado co</w:t>
      </w:r>
      <w:r w:rsidR="005E03BB" w:rsidRPr="00414BF5">
        <w:rPr>
          <w:rFonts w:ascii="Arial" w:eastAsia="Calibri" w:hAnsi="Arial" w:cs="Arial"/>
          <w:sz w:val="24"/>
          <w:szCs w:val="24"/>
          <w:lang w:val="es-ES_tradnl"/>
        </w:rPr>
        <w:t>n la patria,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107. La Ley 599 de 2000 tendrá un nuevo artículo 622, así:</w:t>
      </w:r>
    </w:p>
    <w:p w:rsidR="005E03BB" w:rsidRPr="00414BF5" w:rsidRDefault="005E03BB"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622. </w:t>
      </w:r>
      <w:r w:rsidRPr="00414BF5">
        <w:rPr>
          <w:rFonts w:ascii="Arial" w:eastAsia="Calibri" w:hAnsi="Arial" w:cs="Arial"/>
          <w:b/>
          <w:bCs/>
          <w:i/>
          <w:iCs/>
          <w:sz w:val="24"/>
          <w:szCs w:val="24"/>
          <w:lang w:val="es-ES_tradnl"/>
        </w:rPr>
        <w:t>Violación de inmunidad diplomática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que viole la inmunidad del jefe de un Estado extranjero o de su representante ante el Gobiern</w:t>
      </w:r>
      <w:r w:rsidR="005E03BB" w:rsidRPr="00414BF5">
        <w:rPr>
          <w:rFonts w:ascii="Arial" w:eastAsia="Calibri" w:hAnsi="Arial" w:cs="Arial"/>
          <w:sz w:val="24"/>
          <w:szCs w:val="24"/>
          <w:lang w:val="es-ES_tradnl"/>
        </w:rPr>
        <w:t>o colombiano incurrirá en multa</w:t>
      </w:r>
      <w:r w:rsidRPr="00414BF5">
        <w:rPr>
          <w:rFonts w:ascii="Arial" w:eastAsia="Calibri" w:hAnsi="Arial" w:cs="Arial"/>
          <w:sz w:val="24"/>
          <w:szCs w:val="24"/>
          <w:lang w:val="es-ES_tradnl"/>
        </w:rPr>
        <w:t>.</w:t>
      </w:r>
    </w:p>
    <w:p w:rsidR="005E03BB" w:rsidRPr="00414BF5" w:rsidRDefault="005E03BB" w:rsidP="00704C86">
      <w:pPr>
        <w:spacing w:after="0" w:line="240" w:lineRule="auto"/>
        <w:jc w:val="both"/>
        <w:rPr>
          <w:rFonts w:ascii="Arial" w:eastAsia="Calibri" w:hAnsi="Arial" w:cs="Arial"/>
          <w:sz w:val="24"/>
          <w:szCs w:val="24"/>
          <w:lang w:val="es-ES_tradnl"/>
        </w:rPr>
      </w:pPr>
    </w:p>
    <w:p w:rsidR="005E03BB" w:rsidRPr="00414BF5" w:rsidRDefault="005E03BB"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iCs/>
          <w:sz w:val="24"/>
          <w:szCs w:val="24"/>
          <w:rtl/>
          <w:lang w:val="es-CO" w:bidi="ar-YE"/>
        </w:rPr>
      </w:pPr>
      <w:r w:rsidRPr="00414BF5">
        <w:rPr>
          <w:rFonts w:ascii="Arial" w:eastAsia="Calibri" w:hAnsi="Arial" w:cs="Arial"/>
          <w:sz w:val="24"/>
          <w:szCs w:val="24"/>
          <w:lang w:val="es-ES_tradnl"/>
        </w:rPr>
        <w:t xml:space="preserve">Artículo 108. Modifíquese el artículo 37 de la Ley 906 de </w:t>
      </w:r>
      <w:r w:rsidR="006B5A3E" w:rsidRPr="00414BF5">
        <w:rPr>
          <w:rFonts w:ascii="Arial" w:eastAsia="Calibri" w:hAnsi="Arial" w:cs="Arial"/>
          <w:sz w:val="24"/>
          <w:szCs w:val="24"/>
          <w:lang w:val="es-ES_tradnl"/>
        </w:rPr>
        <w:t xml:space="preserve">2004, modificado por el artículo 2° </w:t>
      </w:r>
      <w:r w:rsidRPr="00414BF5">
        <w:rPr>
          <w:rFonts w:ascii="Arial" w:eastAsia="Calibri" w:hAnsi="Arial" w:cs="Arial"/>
          <w:iCs/>
          <w:sz w:val="24"/>
          <w:szCs w:val="24"/>
          <w:lang w:val="es-CO"/>
        </w:rPr>
        <w:t>de</w:t>
      </w:r>
      <w:r w:rsidRPr="00414BF5">
        <w:rPr>
          <w:rFonts w:ascii="Arial" w:eastAsia="Calibri" w:hAnsi="Arial" w:cs="Arial"/>
          <w:iCs/>
          <w:sz w:val="24"/>
          <w:szCs w:val="24"/>
          <w:rtl/>
          <w:lang w:val="es-CO" w:bidi="ar-YE"/>
        </w:rPr>
        <w:t> </w:t>
      </w:r>
      <w:r w:rsidRPr="00414BF5">
        <w:rPr>
          <w:rFonts w:ascii="Arial" w:eastAsia="Calibri" w:hAnsi="Arial" w:cs="Arial"/>
          <w:iCs/>
          <w:sz w:val="24"/>
          <w:szCs w:val="24"/>
          <w:lang w:val="es-CO"/>
        </w:rPr>
        <w:t>la Ley 1142 de 2007, el cual quedará así</w:t>
      </w:r>
      <w:r w:rsidRPr="00414BF5">
        <w:rPr>
          <w:rFonts w:ascii="Arial" w:eastAsia="Calibri" w:hAnsi="Arial" w:cs="Arial"/>
          <w:iCs/>
          <w:sz w:val="24"/>
          <w:szCs w:val="24"/>
          <w:rtl/>
          <w:lang w:val="es-CO" w:bidi="ar-YE"/>
        </w:rPr>
        <w:t>:</w:t>
      </w:r>
    </w:p>
    <w:p w:rsidR="006B5A3E" w:rsidRPr="00414BF5" w:rsidRDefault="006B5A3E" w:rsidP="00704C86">
      <w:pPr>
        <w:spacing w:after="0" w:line="240" w:lineRule="auto"/>
        <w:jc w:val="both"/>
        <w:rPr>
          <w:rFonts w:ascii="Arial" w:eastAsia="Calibri" w:hAnsi="Arial" w:cs="Arial"/>
          <w:sz w:val="24"/>
          <w:szCs w:val="24"/>
          <w:lang w:val="es-CO" w:bidi="ar-YE"/>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b/>
          <w:bCs/>
          <w:sz w:val="24"/>
          <w:szCs w:val="24"/>
          <w:lang w:val="es-ES_tradnl"/>
        </w:rPr>
        <w:t>Artículo 37. </w:t>
      </w:r>
      <w:r w:rsidRPr="00414BF5">
        <w:rPr>
          <w:rFonts w:ascii="Arial" w:eastAsia="Calibri" w:hAnsi="Arial" w:cs="Arial"/>
          <w:b/>
          <w:bCs/>
          <w:i/>
          <w:iCs/>
          <w:sz w:val="24"/>
          <w:szCs w:val="24"/>
          <w:lang w:val="es-ES_tradnl"/>
        </w:rPr>
        <w:t>De los Jueces Penales Municipales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Los jueces penales municipales conocen:</w:t>
      </w:r>
    </w:p>
    <w:p w:rsidR="006B5A3E" w:rsidRPr="00414BF5" w:rsidRDefault="006B5A3E" w:rsidP="00704C86">
      <w:pPr>
        <w:spacing w:after="0" w:line="240" w:lineRule="auto"/>
        <w:jc w:val="both"/>
        <w:rPr>
          <w:rFonts w:ascii="Arial" w:eastAsia="Calibri" w:hAnsi="Arial" w:cs="Arial"/>
          <w:sz w:val="24"/>
          <w:szCs w:val="24"/>
          <w:lang w:val="es-ES_tradnl"/>
        </w:rPr>
      </w:pPr>
    </w:p>
    <w:p w:rsidR="00704C86" w:rsidRPr="00414BF5" w:rsidRDefault="00704C86" w:rsidP="006B5A3E">
      <w:pPr>
        <w:pStyle w:val="Prrafodelista"/>
        <w:numPr>
          <w:ilvl w:val="0"/>
          <w:numId w:val="32"/>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las conductas punibles de lesiones personales.</w:t>
      </w:r>
    </w:p>
    <w:p w:rsidR="006B5A3E" w:rsidRPr="00414BF5" w:rsidRDefault="006B5A3E" w:rsidP="006B5A3E">
      <w:pPr>
        <w:pStyle w:val="Prrafodelista"/>
        <w:spacing w:after="0" w:line="240" w:lineRule="auto"/>
        <w:jc w:val="both"/>
        <w:rPr>
          <w:rFonts w:ascii="Arial" w:eastAsia="Calibri" w:hAnsi="Arial" w:cs="Arial"/>
          <w:sz w:val="24"/>
          <w:szCs w:val="24"/>
          <w:lang w:val="es-CO"/>
        </w:rPr>
      </w:pPr>
    </w:p>
    <w:p w:rsidR="006B5A3E" w:rsidRPr="00414BF5" w:rsidRDefault="00704C86" w:rsidP="006B5A3E">
      <w:pPr>
        <w:pStyle w:val="Prrafodelista"/>
        <w:numPr>
          <w:ilvl w:val="0"/>
          <w:numId w:val="32"/>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las conductas punibles contra el patrimonio económico en cuantía equivalente a una cantidad no superior en pesos en ciento cincuenta (150) salarios mínimos mensuales legales vigentes al momento de la comisión del hecho.</w:t>
      </w:r>
    </w:p>
    <w:p w:rsidR="006B5A3E" w:rsidRPr="00414BF5" w:rsidRDefault="006B5A3E" w:rsidP="006B5A3E">
      <w:pPr>
        <w:pStyle w:val="Prrafodelista"/>
        <w:spacing w:after="0" w:line="240" w:lineRule="auto"/>
        <w:jc w:val="both"/>
        <w:rPr>
          <w:rFonts w:ascii="Arial" w:eastAsia="Calibri" w:hAnsi="Arial" w:cs="Arial"/>
          <w:sz w:val="24"/>
          <w:szCs w:val="24"/>
          <w:lang w:val="es-ES_tradnl"/>
        </w:rPr>
      </w:pPr>
    </w:p>
    <w:p w:rsidR="006B5A3E" w:rsidRPr="00414BF5" w:rsidRDefault="00704C86" w:rsidP="00704C86">
      <w:pPr>
        <w:pStyle w:val="Prrafodelista"/>
        <w:numPr>
          <w:ilvl w:val="0"/>
          <w:numId w:val="32"/>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los procesos por conductas punibles que requieren querella aunque el sujeto pasivo sea un menor de edad, un inimputable, o la persona haya sido sorprendida en flagrancia e implique investigación oficiosa.</w:t>
      </w:r>
    </w:p>
    <w:p w:rsidR="006B5A3E" w:rsidRPr="00414BF5" w:rsidRDefault="006B5A3E" w:rsidP="006B5A3E">
      <w:pPr>
        <w:pStyle w:val="Prrafodelista"/>
        <w:rPr>
          <w:rFonts w:ascii="Arial" w:eastAsia="Calibri" w:hAnsi="Arial" w:cs="Arial"/>
          <w:sz w:val="24"/>
          <w:szCs w:val="24"/>
          <w:lang w:val="es-ES_tradnl"/>
        </w:rPr>
      </w:pPr>
    </w:p>
    <w:p w:rsidR="00704C86" w:rsidRPr="00414BF5" w:rsidRDefault="00704C86" w:rsidP="006B5A3E">
      <w:pPr>
        <w:pStyle w:val="Prrafodelista"/>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investigación de oficio no impide aplicar, cuando la decisión se considere necesaria, los efectos propios de la querella para beneficio y reparación integral de la víctima del injusto.</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6B5A3E">
      <w:pPr>
        <w:pStyle w:val="Prrafodelista"/>
        <w:numPr>
          <w:ilvl w:val="0"/>
          <w:numId w:val="32"/>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lastRenderedPageBreak/>
        <w:t>De los delitos de violencia intrafamiliar e inasistencia alimentaria.</w:t>
      </w:r>
    </w:p>
    <w:p w:rsidR="006B5A3E" w:rsidRPr="00414BF5" w:rsidRDefault="006B5A3E" w:rsidP="006B5A3E">
      <w:pPr>
        <w:pStyle w:val="Prrafodelista"/>
        <w:spacing w:after="0" w:line="240" w:lineRule="auto"/>
        <w:jc w:val="both"/>
        <w:rPr>
          <w:rFonts w:ascii="Arial" w:eastAsia="Calibri" w:hAnsi="Arial" w:cs="Arial"/>
          <w:sz w:val="24"/>
          <w:szCs w:val="24"/>
          <w:lang w:val="es-CO"/>
        </w:rPr>
      </w:pPr>
    </w:p>
    <w:p w:rsidR="00704C86" w:rsidRPr="00414BF5" w:rsidRDefault="00704C86" w:rsidP="006B5A3E">
      <w:pPr>
        <w:pStyle w:val="Prrafodelista"/>
        <w:numPr>
          <w:ilvl w:val="0"/>
          <w:numId w:val="32"/>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la función de control de garantías.</w:t>
      </w:r>
    </w:p>
    <w:p w:rsidR="006B5A3E" w:rsidRPr="00414BF5" w:rsidRDefault="006B5A3E" w:rsidP="006B5A3E">
      <w:pPr>
        <w:spacing w:after="0" w:line="240" w:lineRule="auto"/>
        <w:jc w:val="both"/>
        <w:rPr>
          <w:rFonts w:ascii="Arial" w:eastAsia="Calibri" w:hAnsi="Arial" w:cs="Arial"/>
          <w:sz w:val="24"/>
          <w:szCs w:val="24"/>
          <w:lang w:val="es-CO"/>
        </w:rPr>
      </w:pPr>
    </w:p>
    <w:p w:rsidR="00704C86" w:rsidRPr="00414BF5" w:rsidRDefault="00704C86" w:rsidP="006B5A3E">
      <w:pPr>
        <w:pStyle w:val="Prrafodelista"/>
        <w:numPr>
          <w:ilvl w:val="0"/>
          <w:numId w:val="32"/>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 xml:space="preserve">De los delitos </w:t>
      </w:r>
      <w:r w:rsidR="006B5A3E" w:rsidRPr="00414BF5">
        <w:rPr>
          <w:rFonts w:ascii="Arial" w:eastAsia="Calibri" w:hAnsi="Arial" w:cs="Arial"/>
          <w:sz w:val="24"/>
          <w:szCs w:val="24"/>
          <w:lang w:val="es-ES_tradnl"/>
        </w:rPr>
        <w:t>contenidos en el título VII Bis</w:t>
      </w:r>
      <w:r w:rsidRPr="00414BF5">
        <w:rPr>
          <w:rFonts w:ascii="Arial" w:eastAsia="Calibri" w:hAnsi="Arial" w:cs="Arial"/>
          <w:sz w:val="24"/>
          <w:szCs w:val="24"/>
          <w:lang w:val="es-ES_tradnl"/>
        </w:rPr>
        <w:t>.</w:t>
      </w:r>
    </w:p>
    <w:p w:rsidR="006B5A3E" w:rsidRPr="00414BF5" w:rsidRDefault="006B5A3E" w:rsidP="006B5A3E">
      <w:pPr>
        <w:spacing w:after="0" w:line="240" w:lineRule="auto"/>
        <w:jc w:val="both"/>
        <w:rPr>
          <w:rFonts w:ascii="Arial" w:eastAsia="Calibri" w:hAnsi="Arial" w:cs="Arial"/>
          <w:sz w:val="24"/>
          <w:szCs w:val="24"/>
          <w:lang w:val="es-CO"/>
        </w:rPr>
      </w:pPr>
    </w:p>
    <w:p w:rsidR="006B5A3E" w:rsidRPr="00414BF5" w:rsidRDefault="006B5A3E" w:rsidP="006B5A3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109. Modifíquese el artículo 66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66. </w:t>
      </w:r>
      <w:r w:rsidRPr="00414BF5">
        <w:rPr>
          <w:rFonts w:ascii="Arial" w:eastAsia="Calibri" w:hAnsi="Arial" w:cs="Arial"/>
          <w:b/>
          <w:bCs/>
          <w:i/>
          <w:iCs/>
          <w:sz w:val="24"/>
          <w:szCs w:val="24"/>
          <w:lang w:val="es-ES_tradnl"/>
        </w:rPr>
        <w:t>Titularidad y obligatoriedad</w:t>
      </w:r>
      <w:r w:rsidRPr="00414BF5">
        <w:rPr>
          <w:rFonts w:ascii="Arial" w:eastAsia="Calibri" w:hAnsi="Arial" w:cs="Arial"/>
          <w:sz w:val="24"/>
          <w:szCs w:val="24"/>
          <w:lang w:val="es-ES_tradnl"/>
        </w:rPr>
        <w:t>. El Estado, por intermedio de la Fiscalía General de la Nación, está obligado a ejercer la acción penal y a realizar la investigación de los hechos que revistan las características de una conducta punible, de oficio o que lleguen a su conocimiento por medio de denuncia, petición especial, querella o cualquier otro medio, salvo las excepciones contempladas en la Constitución Política y en este código.</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autorice la conversión de la acción penal pública a privada, y entre tanto esta perdure, la investigación y la acusación corresponderán al acusador privado</w:t>
      </w:r>
      <w:r w:rsidR="006B5A3E" w:rsidRPr="00414BF5">
        <w:rPr>
          <w:rFonts w:ascii="Arial" w:eastAsia="Calibri" w:hAnsi="Arial" w:cs="Arial"/>
          <w:sz w:val="24"/>
          <w:szCs w:val="24"/>
          <w:lang w:val="es-ES_tradnl"/>
        </w:rPr>
        <w:t xml:space="preserve"> en los términos de este Código</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6B5A3E"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110. Modi</w:t>
      </w:r>
      <w:r w:rsidR="00704C86" w:rsidRPr="00414BF5">
        <w:rPr>
          <w:rFonts w:ascii="Arial" w:eastAsia="Calibri" w:hAnsi="Arial" w:cs="Arial"/>
          <w:sz w:val="24"/>
          <w:szCs w:val="24"/>
          <w:lang w:val="es-ES_tradnl"/>
        </w:rPr>
        <w:t>fíquese el artículo 71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71. </w:t>
      </w:r>
      <w:r w:rsidRPr="00414BF5">
        <w:rPr>
          <w:rFonts w:ascii="Arial" w:eastAsia="Calibri" w:hAnsi="Arial" w:cs="Arial"/>
          <w:b/>
          <w:bCs/>
          <w:i/>
          <w:iCs/>
          <w:sz w:val="24"/>
          <w:szCs w:val="24"/>
          <w:lang w:val="es-ES_tradnl"/>
        </w:rPr>
        <w:t>Querellante legítimo</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La querella únicamente puede ser presentada por el sujeto pasivo de la contravención. Si este fuere incapaz o persona jurídica, debe ser formulada por su representante legal. Si el querellante legítimo ha fallecido, podrán presentarla sus herederos.</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el sujeto pasivo estuviere imposibilitado para formular la querella, o sea incapaz y carezca de representante legal, o este sea autor o partícipe de la contravención, puede presentarla el Defensor de Familia, el agente del Ministerio Público o los perjudicados directos.</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Procurador General de la Nación podrá formular querella cuando se afecte el interés público o colectivo.</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intervención de un servidor público como representante de un menor incapaz, no impide que pueda conciliar o desistir. El juez tendrá especial cuidado de verificar que la causa de esta actuación o del acuerdo, se produzca en beneficio de la víctima para garantizar la reparación integral o la indemnización económica.</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Los miembros de la Policía Nacional están facultados legalmente para interponer querella en los casos de hurto contravencional que no hayan sido puestos en conocimiento de la Administración de Justicia por el sujeto pasivo y sobre los cuales haya tenido conocimiento en el ejercicio de sus funciones. En estos casos, el sujeto pasivo de la conducta seguirá siendo querellante legítimo y el único facultado para ejercer la acusación privada.</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111. Modifíquese el artículo 72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72. </w:t>
      </w:r>
      <w:r w:rsidRPr="00414BF5">
        <w:rPr>
          <w:rFonts w:ascii="Arial" w:eastAsia="Calibri" w:hAnsi="Arial" w:cs="Arial"/>
          <w:b/>
          <w:bCs/>
          <w:i/>
          <w:iCs/>
          <w:sz w:val="24"/>
          <w:szCs w:val="24"/>
          <w:lang w:val="es-ES_tradnl"/>
        </w:rPr>
        <w:t>Extensión de la querella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xml:space="preserve"> La querella se extiende de derecho contra todos los que hubieren </w:t>
      </w:r>
      <w:r w:rsidR="006B5A3E" w:rsidRPr="00414BF5">
        <w:rPr>
          <w:rFonts w:ascii="Arial" w:eastAsia="Calibri" w:hAnsi="Arial" w:cs="Arial"/>
          <w:sz w:val="24"/>
          <w:szCs w:val="24"/>
          <w:lang w:val="es-ES_tradnl"/>
        </w:rPr>
        <w:t>participado en la contravención</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112. Modifíquese el artículo 73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73. </w:t>
      </w:r>
      <w:r w:rsidRPr="00414BF5">
        <w:rPr>
          <w:rFonts w:ascii="Arial" w:eastAsia="Calibri" w:hAnsi="Arial" w:cs="Arial"/>
          <w:b/>
          <w:bCs/>
          <w:i/>
          <w:iCs/>
          <w:sz w:val="24"/>
          <w:szCs w:val="24"/>
          <w:lang w:val="es-ES_tradnl"/>
        </w:rPr>
        <w:t>Caducidad de la querella</w:t>
      </w:r>
      <w:r w:rsidRPr="00414BF5">
        <w:rPr>
          <w:rFonts w:ascii="Arial" w:eastAsia="Calibri" w:hAnsi="Arial" w:cs="Arial"/>
          <w:sz w:val="24"/>
          <w:szCs w:val="24"/>
          <w:lang w:val="es-ES_tradnl"/>
        </w:rPr>
        <w:t>. La querella debe presentarse dentro de los seis (6) meses siguientes a la comisión de la contravención. No obstante, cuando el querellante legítimo por razones de fuerza mayor o caso fortuito acreditados no hubiere tenido conocimiento de su ocurrencia, el término se contará a partir del momento en que aquellos desaparezcan, sin que en este cas</w:t>
      </w:r>
      <w:r w:rsidR="006B5A3E" w:rsidRPr="00414BF5">
        <w:rPr>
          <w:rFonts w:ascii="Arial" w:eastAsia="Calibri" w:hAnsi="Arial" w:cs="Arial"/>
          <w:sz w:val="24"/>
          <w:szCs w:val="24"/>
          <w:lang w:val="es-ES_tradnl"/>
        </w:rPr>
        <w:t>o sea superior a seis (6) meses</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113. Modifíquese el artículo 74 de la Ley 906 de 2004, modificado por el artículo 108 de la Ley 1453 de 2011,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74. </w:t>
      </w:r>
      <w:r w:rsidRPr="00414BF5">
        <w:rPr>
          <w:rFonts w:ascii="Arial" w:eastAsia="Calibri" w:hAnsi="Arial" w:cs="Arial"/>
          <w:b/>
          <w:bCs/>
          <w:i/>
          <w:iCs/>
          <w:sz w:val="24"/>
          <w:szCs w:val="24"/>
          <w:lang w:val="es-ES_tradnl"/>
        </w:rPr>
        <w:t>Conductas punibles que requieren querella.</w:t>
      </w:r>
      <w:r w:rsidRPr="00414BF5">
        <w:rPr>
          <w:rFonts w:ascii="Arial" w:eastAsia="Calibri" w:hAnsi="Arial" w:cs="Arial"/>
          <w:sz w:val="24"/>
          <w:szCs w:val="24"/>
          <w:lang w:val="es-ES_tradnl"/>
        </w:rPr>
        <w:t> Para iniciar la acción penal será necesario querella en las conductas punibles descritas en el Libro Tercero del Código Penal, Ley 599 de 2000.</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No será necesario querella parar iniciar la acción penal respecto de casos de flagrancia o en los cuales el sujeto pasivo sea menor de edad, inimputable o se refieran a presuntas conductas punibl</w:t>
      </w:r>
      <w:r w:rsidR="006B5A3E" w:rsidRPr="00414BF5">
        <w:rPr>
          <w:rFonts w:ascii="Arial" w:eastAsia="Calibri" w:hAnsi="Arial" w:cs="Arial"/>
          <w:sz w:val="24"/>
          <w:szCs w:val="24"/>
          <w:lang w:val="es-ES_tradnl"/>
        </w:rPr>
        <w:t>es de violencia contra la mujer</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114. Modifíquese el artículo 76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76. </w:t>
      </w:r>
      <w:r w:rsidRPr="00414BF5">
        <w:rPr>
          <w:rFonts w:ascii="Arial" w:eastAsia="Calibri" w:hAnsi="Arial" w:cs="Arial"/>
          <w:b/>
          <w:bCs/>
          <w:i/>
          <w:iCs/>
          <w:sz w:val="24"/>
          <w:szCs w:val="24"/>
          <w:lang w:val="es-ES_tradnl"/>
        </w:rPr>
        <w:t>Desistimiento de la querella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En cualquier momento de la actuación y antes del inicio de la audiencia de juicio oral, el querellante podrá manifestar verbalmente o por escrito su deseo de desistir de la acción penal.</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al momento de presentarse la solicitud no se hubiese presentado escrito de acusación, le corresponde a la Fiscalía</w:t>
      </w:r>
      <w:r w:rsidR="006B5A3E" w:rsidRPr="00414BF5">
        <w:rPr>
          <w:rFonts w:ascii="Arial" w:eastAsia="Calibri" w:hAnsi="Arial" w:cs="Arial"/>
          <w:sz w:val="24"/>
          <w:szCs w:val="24"/>
          <w:lang w:val="es-ES_tradnl"/>
        </w:rPr>
        <w:t xml:space="preserve"> </w:t>
      </w:r>
      <w:r w:rsidRPr="00414BF5">
        <w:rPr>
          <w:rFonts w:ascii="Arial" w:eastAsia="Calibri" w:hAnsi="Arial" w:cs="Arial"/>
          <w:sz w:val="24"/>
          <w:szCs w:val="24"/>
          <w:lang w:val="es-ES_tradnl"/>
        </w:rPr>
        <w:t>verificar que ella sea voluntaria, libre e informada, antes de proceder a aceptarla y archivar las diligencias.</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se hubiere presentado escrito de acusación le corresponderá al juez de conocimiento, luego de escuchar el parecer dela Fiscalía, o del acusador privado, según sea el caso, determinar si acepta el desistimiento.</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cualquier caso el desistimiento se hará extensivo a todos los autores o partícipes de la contravención investigada, y una vez ac</w:t>
      </w:r>
      <w:r w:rsidR="006B5A3E" w:rsidRPr="00414BF5">
        <w:rPr>
          <w:rFonts w:ascii="Arial" w:eastAsia="Calibri" w:hAnsi="Arial" w:cs="Arial"/>
          <w:sz w:val="24"/>
          <w:szCs w:val="24"/>
          <w:lang w:val="es-ES_tradnl"/>
        </w:rPr>
        <w:t>eptado no admitirá retractación</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115. Modifíquese el numeral 4 del artículo 313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4.</w:t>
      </w:r>
      <w:r w:rsidRPr="00414BF5">
        <w:rPr>
          <w:rFonts w:ascii="Arial" w:eastAsia="Calibri" w:hAnsi="Arial" w:cs="Arial"/>
          <w:sz w:val="24"/>
          <w:szCs w:val="24"/>
          <w:lang w:val="es-ES_tradnl"/>
        </w:rPr>
        <w:t> Cuando la persona haya sido capturada por conducta constitutiva de delito o contravención, dentro del lapso de los tres años anteriores, contados a partir de la nueva captura o imputación, siempre que no se haya producido la preclusión o absolución en el caso precedente.</w:t>
      </w:r>
    </w:p>
    <w:p w:rsidR="006B5A3E" w:rsidRPr="00414BF5" w:rsidRDefault="006B5A3E" w:rsidP="00704C86">
      <w:pPr>
        <w:spacing w:after="0" w:line="240" w:lineRule="auto"/>
        <w:jc w:val="both"/>
        <w:rPr>
          <w:rFonts w:ascii="Arial" w:eastAsia="Calibri" w:hAnsi="Arial" w:cs="Arial"/>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el supuesto contemplado por el inciso anterior, se entenderá que la libertad del capturado representa peligro futuro para la sociedad en los términos de los art</w:t>
      </w:r>
      <w:r w:rsidR="006B5A3E" w:rsidRPr="00414BF5">
        <w:rPr>
          <w:rFonts w:ascii="Arial" w:eastAsia="Calibri" w:hAnsi="Arial" w:cs="Arial"/>
          <w:sz w:val="24"/>
          <w:szCs w:val="24"/>
          <w:lang w:val="es-ES_tradnl"/>
        </w:rPr>
        <w:t>ículos 308 y 310 de este código</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116. Modifíquese el artículo 522 de la Ley 906 de 2004, el cual quedará así:</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522. </w:t>
      </w:r>
      <w:r w:rsidRPr="00414BF5">
        <w:rPr>
          <w:rFonts w:ascii="Arial" w:eastAsia="Calibri" w:hAnsi="Arial" w:cs="Arial"/>
          <w:b/>
          <w:bCs/>
          <w:i/>
          <w:iCs/>
          <w:sz w:val="24"/>
          <w:szCs w:val="24"/>
          <w:lang w:val="es-ES_tradnl"/>
        </w:rPr>
        <w:t>La conciliación en las contravenciones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La conciliación se surtirá obligatoriamente y como requisito de procedibilidad para el ejercicio de la acción penal, cuando se trate de contravenciones, ante el fiscal que corresponda, o en un centro de conciliación o ante un conciliador reconocido como tal.</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el primer evento, el fiscal citará a querellante y querellado a diligencia de conciliación. Si hubiere acuerdo procederá a archivar las diligencias. En caso contrario, ejercitará la acción penal correspondiente, sin perjuicio de que las partes acudan al mecanismo de la mediación.</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la audiencia de conciliación se realizare ante un centro o conciliado r reconocidos como tales, el conciliador enviará copia del acta que así lo constate al fiscal quien procederá al archivo de las diligencias si fue exitosa o, en caso contrario, iniciará la acción penal correspondiente, si fuere procedente, sin perjuicio de que las partes acudan al mecanismo de la mediación.</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inasistencia injustificada del querellante se entenderá como desistimiento de su pretensión. La del querellado motivará el ejercicio de la acción penal, si fuere procedente.</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En cualquier caso, si alguno de los citados fuere incapaz, concurrirá su representante legal.</w:t>
      </w: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conciliación se ceñirá, en lo pertinente, a lo es</w:t>
      </w:r>
      <w:r w:rsidR="006B5A3E" w:rsidRPr="00414BF5">
        <w:rPr>
          <w:rFonts w:ascii="Arial" w:eastAsia="Calibri" w:hAnsi="Arial" w:cs="Arial"/>
          <w:sz w:val="24"/>
          <w:szCs w:val="24"/>
          <w:lang w:val="es-ES_tradnl"/>
        </w:rPr>
        <w:t>tablecido en la Ley 640 de 2001</w:t>
      </w:r>
      <w:r w:rsidRPr="00414BF5">
        <w:rPr>
          <w:rFonts w:ascii="Arial" w:eastAsia="Calibri" w:hAnsi="Arial" w:cs="Arial"/>
          <w:sz w:val="24"/>
          <w:szCs w:val="24"/>
          <w:lang w:val="es-ES_tradnl"/>
        </w:rPr>
        <w:t>.</w:t>
      </w:r>
    </w:p>
    <w:p w:rsidR="006B5A3E" w:rsidRPr="00414BF5" w:rsidRDefault="006B5A3E" w:rsidP="00704C86">
      <w:pPr>
        <w:spacing w:after="0" w:line="240" w:lineRule="auto"/>
        <w:jc w:val="both"/>
        <w:rPr>
          <w:rFonts w:ascii="Arial" w:eastAsia="Calibri" w:hAnsi="Arial" w:cs="Arial"/>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117. La Ley 906 de 2004 tendrá un nuevo Libro VIII, con el siguiente nombre:</w:t>
      </w: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6B5A3E">
      <w:pPr>
        <w:spacing w:after="0" w:line="240" w:lineRule="auto"/>
        <w:jc w:val="center"/>
        <w:rPr>
          <w:rFonts w:ascii="Arial" w:eastAsia="Calibri" w:hAnsi="Arial" w:cs="Arial"/>
          <w:sz w:val="24"/>
          <w:szCs w:val="24"/>
          <w:lang w:val="es-CO"/>
        </w:rPr>
      </w:pPr>
      <w:r w:rsidRPr="00414BF5">
        <w:rPr>
          <w:rFonts w:ascii="Arial" w:eastAsia="Calibri" w:hAnsi="Arial" w:cs="Arial"/>
          <w:b/>
          <w:bCs/>
          <w:sz w:val="24"/>
          <w:szCs w:val="24"/>
          <w:lang w:val="es-ES_tradnl"/>
        </w:rPr>
        <w:t>LIBRO VIII</w:t>
      </w:r>
    </w:p>
    <w:p w:rsidR="00704C86" w:rsidRPr="00414BF5" w:rsidRDefault="00704C86" w:rsidP="006B5A3E">
      <w:pPr>
        <w:spacing w:after="0" w:line="240" w:lineRule="auto"/>
        <w:jc w:val="center"/>
        <w:rPr>
          <w:rFonts w:ascii="Arial" w:eastAsia="Calibri" w:hAnsi="Arial" w:cs="Arial"/>
          <w:b/>
          <w:bCs/>
          <w:sz w:val="24"/>
          <w:szCs w:val="24"/>
          <w:lang w:val="es-ES_tradnl"/>
        </w:rPr>
      </w:pPr>
      <w:r w:rsidRPr="00414BF5">
        <w:rPr>
          <w:rFonts w:ascii="Arial" w:eastAsia="Calibri" w:hAnsi="Arial" w:cs="Arial"/>
          <w:b/>
          <w:bCs/>
          <w:sz w:val="24"/>
          <w:szCs w:val="24"/>
          <w:lang w:val="es-ES_tradnl"/>
        </w:rPr>
        <w:t>PROCEDIMIENTO ESPECIA</w:t>
      </w:r>
      <w:r w:rsidR="006B5A3E" w:rsidRPr="00414BF5">
        <w:rPr>
          <w:rFonts w:ascii="Arial" w:eastAsia="Calibri" w:hAnsi="Arial" w:cs="Arial"/>
          <w:b/>
          <w:bCs/>
          <w:sz w:val="24"/>
          <w:szCs w:val="24"/>
          <w:lang w:val="es-ES_tradnl"/>
        </w:rPr>
        <w:t>L ABREVIADO Y ACUSACIÓN PRIVADA</w:t>
      </w:r>
    </w:p>
    <w:p w:rsidR="006B5A3E" w:rsidRPr="00414BF5" w:rsidRDefault="006B5A3E" w:rsidP="00704C86">
      <w:pPr>
        <w:spacing w:after="0" w:line="240" w:lineRule="auto"/>
        <w:jc w:val="both"/>
        <w:rPr>
          <w:rFonts w:ascii="Arial" w:eastAsia="Calibri" w:hAnsi="Arial" w:cs="Arial"/>
          <w:b/>
          <w:bCs/>
          <w:sz w:val="24"/>
          <w:szCs w:val="24"/>
          <w:lang w:val="es-ES_tradnl"/>
        </w:rPr>
      </w:pPr>
    </w:p>
    <w:p w:rsidR="006B5A3E" w:rsidRPr="00414BF5" w:rsidRDefault="006B5A3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118. La Ley 906 de 2004 tendrá un nuevo Título I y un nuevo Capítulo I en su Libro VIII, con el siguiente nombre:</w:t>
      </w: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B37269">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w:t>
      </w:r>
    </w:p>
    <w:p w:rsidR="00704C86" w:rsidRPr="00414BF5" w:rsidRDefault="00704C86" w:rsidP="00B37269">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DEL PROCEDIMIENTO ESPECIAL </w:t>
      </w:r>
      <w:r w:rsidRPr="00414BF5">
        <w:rPr>
          <w:rFonts w:ascii="Arial" w:eastAsia="Calibri" w:hAnsi="Arial" w:cs="Arial"/>
          <w:sz w:val="24"/>
          <w:szCs w:val="24"/>
          <w:lang w:val="es-ES_tradnl"/>
        </w:rPr>
        <w:br/>
        <w:t>ABREVIADO</w:t>
      </w:r>
    </w:p>
    <w:p w:rsidR="00704C86" w:rsidRPr="00414BF5" w:rsidRDefault="00704C86" w:rsidP="00B37269">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CAPÍTULO I</w:t>
      </w:r>
    </w:p>
    <w:p w:rsidR="00704C86" w:rsidRPr="00414BF5" w:rsidRDefault="00B37269" w:rsidP="00B37269">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DEFINICIONES Y REGLAS GENERALES</w:t>
      </w:r>
    </w:p>
    <w:p w:rsidR="00B37269" w:rsidRPr="00414BF5" w:rsidRDefault="00B37269" w:rsidP="00704C86">
      <w:pPr>
        <w:spacing w:after="0" w:line="240" w:lineRule="auto"/>
        <w:jc w:val="both"/>
        <w:rPr>
          <w:rFonts w:ascii="Arial" w:eastAsia="Calibri" w:hAnsi="Arial" w:cs="Arial"/>
          <w:sz w:val="24"/>
          <w:szCs w:val="24"/>
          <w:lang w:val="es-ES_tradnl"/>
        </w:rPr>
      </w:pP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119. La Ley 906 de 2004 tendrá un nuevo artículo 534, así:</w:t>
      </w: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b/>
          <w:bCs/>
          <w:sz w:val="24"/>
          <w:szCs w:val="24"/>
          <w:lang w:val="es-ES_tradnl"/>
        </w:rPr>
        <w:t>Artículo 534. </w:t>
      </w:r>
      <w:r w:rsidRPr="00414BF5">
        <w:rPr>
          <w:rFonts w:ascii="Arial" w:eastAsia="Calibri" w:hAnsi="Arial" w:cs="Arial"/>
          <w:i/>
          <w:iCs/>
          <w:sz w:val="24"/>
          <w:szCs w:val="24"/>
          <w:lang w:val="es-CO"/>
        </w:rPr>
        <w:t>Ámbito de aplicación</w:t>
      </w:r>
      <w:r w:rsidRPr="00414BF5">
        <w:rPr>
          <w:rFonts w:ascii="Arial" w:eastAsia="Calibri" w:hAnsi="Arial" w:cs="Arial"/>
          <w:sz w:val="24"/>
          <w:szCs w:val="24"/>
          <w:lang w:val="es-ES_tradnl"/>
        </w:rPr>
        <w:t>. El procedimiento especial abreviado de que trata el presente título se aplicará a las contravenciones. En caso de concurso de conductas punibles entre delitos y contravenciones, se seguirá el procedimiento ordinario previsto en este código para los primeros.</w:t>
      </w: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También se aplicará este procedimiento al delito de hurto calificado por los numerales 1 o 2 del artículo 240, al hurto cometido sobre elementos destinados a las comunicaciones telefónicas descrito en el inciso final del artículo 240 y al delito de inasistencia alimentaria descrito en el artículo 233 y al delito de violencia contra servidor público descrito en el artículo 429 de la Ley 599 de 2000.</w:t>
      </w: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sola denominación de una conducta punible como contravención o su trámite por el procedimiento especial abreviado, no son criterios determinantes para la individualización de la pena o para la concesión o denegación de beneficios judiciales y/o administrativos, subrogados penales y demás aspectos relacionados co</w:t>
      </w:r>
      <w:r w:rsidR="00B37269" w:rsidRPr="00414BF5">
        <w:rPr>
          <w:rFonts w:ascii="Arial" w:eastAsia="Calibri" w:hAnsi="Arial" w:cs="Arial"/>
          <w:sz w:val="24"/>
          <w:szCs w:val="24"/>
          <w:lang w:val="es-ES_tradnl"/>
        </w:rPr>
        <w:t>n la punibilidad de la conducta</w:t>
      </w:r>
      <w:r w:rsidRPr="00414BF5">
        <w:rPr>
          <w:rFonts w:ascii="Arial" w:eastAsia="Calibri" w:hAnsi="Arial" w:cs="Arial"/>
          <w:sz w:val="24"/>
          <w:szCs w:val="24"/>
          <w:lang w:val="es-ES_tradnl"/>
        </w:rPr>
        <w:t>.</w:t>
      </w:r>
    </w:p>
    <w:p w:rsidR="00B37269" w:rsidRPr="00414BF5" w:rsidRDefault="00B37269" w:rsidP="00704C86">
      <w:pPr>
        <w:spacing w:after="0" w:line="240" w:lineRule="auto"/>
        <w:jc w:val="both"/>
        <w:rPr>
          <w:rFonts w:ascii="Arial" w:eastAsia="Calibri" w:hAnsi="Arial" w:cs="Arial"/>
          <w:sz w:val="24"/>
          <w:szCs w:val="24"/>
          <w:lang w:val="es-ES_tradnl"/>
        </w:rPr>
      </w:pP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120. La Ley 906 de 2004 tendrá un nuevo artículo 535, así:</w:t>
      </w: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535. </w:t>
      </w:r>
      <w:r w:rsidRPr="00414BF5">
        <w:rPr>
          <w:rFonts w:ascii="Arial" w:eastAsia="Calibri" w:hAnsi="Arial" w:cs="Arial"/>
          <w:b/>
          <w:bCs/>
          <w:i/>
          <w:iCs/>
          <w:sz w:val="24"/>
          <w:szCs w:val="24"/>
          <w:lang w:val="es-ES_tradnl"/>
        </w:rPr>
        <w:t>Integración</w:t>
      </w:r>
      <w:r w:rsidRPr="00414BF5">
        <w:rPr>
          <w:rFonts w:ascii="Arial" w:eastAsia="Calibri" w:hAnsi="Arial" w:cs="Arial"/>
          <w:b/>
          <w:bCs/>
          <w:sz w:val="24"/>
          <w:szCs w:val="24"/>
          <w:lang w:val="es-ES_tradnl"/>
        </w:rPr>
        <w:t>.</w:t>
      </w:r>
      <w:r w:rsidRPr="00414BF5">
        <w:rPr>
          <w:rFonts w:ascii="Arial" w:eastAsia="Calibri" w:hAnsi="Arial" w:cs="Arial"/>
          <w:sz w:val="24"/>
          <w:szCs w:val="24"/>
          <w:lang w:val="es-ES_tradnl"/>
        </w:rPr>
        <w:t> En todo aquello que no haya sido previsto de forma especial por el procedimiento descrito en este título para las contravenciones, se aplicará lo dispuesto por este código y el Código Penal, Ley 599 de 20</w:t>
      </w:r>
      <w:r w:rsidR="00B37269" w:rsidRPr="00414BF5">
        <w:rPr>
          <w:rFonts w:ascii="Arial" w:eastAsia="Calibri" w:hAnsi="Arial" w:cs="Arial"/>
          <w:sz w:val="24"/>
          <w:szCs w:val="24"/>
          <w:lang w:val="es-ES_tradnl"/>
        </w:rPr>
        <w:t>00, en relación con los delitos</w:t>
      </w:r>
      <w:r w:rsidRPr="00414BF5">
        <w:rPr>
          <w:rFonts w:ascii="Arial" w:eastAsia="Calibri" w:hAnsi="Arial" w:cs="Arial"/>
          <w:sz w:val="24"/>
          <w:szCs w:val="24"/>
          <w:lang w:val="es-ES_tradnl"/>
        </w:rPr>
        <w:t>.</w:t>
      </w:r>
    </w:p>
    <w:p w:rsidR="00B37269" w:rsidRPr="00414BF5" w:rsidRDefault="00B37269" w:rsidP="00704C86">
      <w:pPr>
        <w:spacing w:after="0" w:line="240" w:lineRule="auto"/>
        <w:jc w:val="both"/>
        <w:rPr>
          <w:rFonts w:ascii="Arial" w:eastAsia="Calibri" w:hAnsi="Arial" w:cs="Arial"/>
          <w:sz w:val="24"/>
          <w:szCs w:val="24"/>
          <w:lang w:val="es-ES_tradnl"/>
        </w:rPr>
      </w:pPr>
    </w:p>
    <w:p w:rsidR="00B37269" w:rsidRPr="00414BF5" w:rsidRDefault="00B37269"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121. La Ley 906 de 2004 tendrá un nuevo artículo 536,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536. </w:t>
      </w:r>
      <w:r w:rsidRPr="00414BF5">
        <w:rPr>
          <w:rFonts w:ascii="Arial" w:eastAsia="Calibri" w:hAnsi="Arial" w:cs="Arial"/>
          <w:b/>
          <w:bCs/>
          <w:i/>
          <w:iCs/>
          <w:sz w:val="24"/>
          <w:szCs w:val="24"/>
          <w:lang w:val="es-ES_tradnl"/>
        </w:rPr>
        <w:t>Comunicación de los cargos</w:t>
      </w:r>
      <w:r w:rsidRPr="00414BF5">
        <w:rPr>
          <w:rFonts w:ascii="Arial" w:eastAsia="Calibri" w:hAnsi="Arial" w:cs="Arial"/>
          <w:sz w:val="24"/>
          <w:szCs w:val="24"/>
          <w:lang w:val="es-ES_tradnl"/>
        </w:rPr>
        <w:t>. La comunicación de los cargos por los cuales está siendo investigado se surtirá con el traslado del escrito de acusación, tras lo cual el indiciado adquiere la condición de parte en el proceso penal. Cuando se solicite la imposición de medida de aseguramiento, los cargos se comunicarán oralmente al indiciado al comienzo de la audiencia respectiva, de acuerdo con lo estab</w:t>
      </w:r>
      <w:r w:rsidR="007C659E" w:rsidRPr="00414BF5">
        <w:rPr>
          <w:rFonts w:ascii="Arial" w:eastAsia="Calibri" w:hAnsi="Arial" w:cs="Arial"/>
          <w:sz w:val="24"/>
          <w:szCs w:val="24"/>
          <w:lang w:val="es-ES_tradnl"/>
        </w:rPr>
        <w:t>lecido en el artículo siguiente</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122. La Ley 906 de 2004 tendrá un nuevo artículo 537, así:</w:t>
      </w:r>
    </w:p>
    <w:p w:rsidR="007C659E" w:rsidRPr="00414BF5" w:rsidRDefault="007C659E"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537. </w:t>
      </w:r>
      <w:r w:rsidRPr="00414BF5">
        <w:rPr>
          <w:rFonts w:ascii="Arial" w:eastAsia="Calibri" w:hAnsi="Arial" w:cs="Arial"/>
          <w:b/>
          <w:bCs/>
          <w:i/>
          <w:iCs/>
          <w:sz w:val="24"/>
          <w:szCs w:val="24"/>
          <w:lang w:val="es-ES_tradnl"/>
        </w:rPr>
        <w:t xml:space="preserve">Comunicación de cargos en audiencia de </w:t>
      </w:r>
      <w:r w:rsidR="007C659E" w:rsidRPr="00414BF5">
        <w:rPr>
          <w:rFonts w:ascii="Arial" w:eastAsia="Calibri" w:hAnsi="Arial" w:cs="Arial"/>
          <w:b/>
          <w:bCs/>
          <w:i/>
          <w:iCs/>
          <w:sz w:val="24"/>
          <w:szCs w:val="24"/>
          <w:lang w:val="es-ES_tradnl"/>
        </w:rPr>
        <w:t>solicitud de medida de aseguram</w:t>
      </w:r>
      <w:r w:rsidRPr="00414BF5">
        <w:rPr>
          <w:rFonts w:ascii="Arial" w:eastAsia="Calibri" w:hAnsi="Arial" w:cs="Arial"/>
          <w:b/>
          <w:bCs/>
          <w:i/>
          <w:iCs/>
          <w:sz w:val="24"/>
          <w:szCs w:val="24"/>
          <w:lang w:val="es-ES_tradnl"/>
        </w:rPr>
        <w:t>iento.</w:t>
      </w:r>
      <w:r w:rsidRPr="00414BF5">
        <w:rPr>
          <w:rFonts w:ascii="Arial" w:eastAsia="Calibri" w:hAnsi="Arial" w:cs="Arial"/>
          <w:sz w:val="24"/>
          <w:szCs w:val="24"/>
          <w:lang w:val="es-ES_tradnl"/>
        </w:rPr>
        <w:t> La comunicación de los cargos se hará de forma oral en la audiencia de solicitud de medida de aseguramiento cuando esta ocurra con anterioridad al traslado del escrito de acusación. Esta comunicación contendrá, como mínimo: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3"/>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Individualización concreta del indiciado, incluyendo su nombre, los datos que sirvan para identificarlo y el domicilio de citaciones.</w:t>
      </w:r>
    </w:p>
    <w:p w:rsidR="007C659E" w:rsidRPr="00414BF5" w:rsidRDefault="007C659E" w:rsidP="007C659E">
      <w:pPr>
        <w:pStyle w:val="Prrafodelista"/>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3"/>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Relación clara y sucinta de los hechos jurídicamente relevantes.</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3"/>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Calificación jurídica provisional de los hechos por los cuales está siendo investigado.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3"/>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Posibilidad de allanarse a los cargos comunicados, caso en el cual se procederá de conformidad con lo dispuesto por el artículo 541 de este Código.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calificación jurídica provisional de los hechos no obsta para su modificación en el escrito de acusación, siempre que la nueva conducta punible guarde identidad y no afecte o modifique el núcleo básico o esencial del supuesto fáctico.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Comunicados los cargos de esta forma, la Fiscalía contará con treinta (30) días para correr tr</w:t>
      </w:r>
      <w:r w:rsidR="007C659E" w:rsidRPr="00414BF5">
        <w:rPr>
          <w:rFonts w:ascii="Arial" w:eastAsia="Calibri" w:hAnsi="Arial" w:cs="Arial"/>
          <w:sz w:val="24"/>
          <w:szCs w:val="24"/>
          <w:lang w:val="es-ES_tradnl"/>
        </w:rPr>
        <w:t>aslado del escrito de acusación</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123. La Ley 906 de 2004 tendrá un nuevo artículo 538,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538. </w:t>
      </w:r>
      <w:r w:rsidRPr="00414BF5">
        <w:rPr>
          <w:rFonts w:ascii="Arial" w:eastAsia="Calibri" w:hAnsi="Arial" w:cs="Arial"/>
          <w:b/>
          <w:bCs/>
          <w:i/>
          <w:iCs/>
          <w:sz w:val="24"/>
          <w:szCs w:val="24"/>
          <w:lang w:val="es-ES_tradnl"/>
        </w:rPr>
        <w:t>Causales de libertad</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término de las medidas de aseguramiento privativas de la libertad no podrá exceder de ciento cincuenta (150) días. La libertad del indiciado o acusado se cumplirá de inmediato y procederá en los siguientes eventos: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haya cumplido la pena según la determinación anticipada que para este efecto se haga.</w:t>
      </w:r>
    </w:p>
    <w:p w:rsidR="007C659E" w:rsidRPr="00414BF5" w:rsidRDefault="007C659E" w:rsidP="007C659E">
      <w:pPr>
        <w:pStyle w:val="Prrafodelista"/>
        <w:spacing w:after="0" w:line="240" w:lineRule="auto"/>
        <w:jc w:val="both"/>
        <w:rPr>
          <w:rFonts w:ascii="Arial" w:eastAsia="Calibri" w:hAnsi="Arial" w:cs="Arial"/>
          <w:sz w:val="24"/>
          <w:szCs w:val="24"/>
          <w:lang w:val="es-CO"/>
        </w:rPr>
      </w:pPr>
    </w:p>
    <w:p w:rsidR="007C659E"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haya decretado la preclusión.</w:t>
      </w:r>
    </w:p>
    <w:p w:rsidR="007C659E" w:rsidRPr="00414BF5" w:rsidRDefault="007C659E" w:rsidP="007C659E">
      <w:pPr>
        <w:spacing w:after="0" w:line="240" w:lineRule="auto"/>
        <w:jc w:val="both"/>
        <w:rPr>
          <w:rFonts w:ascii="Arial" w:eastAsia="Calibri" w:hAnsi="Arial" w:cs="Arial"/>
          <w:sz w:val="24"/>
          <w:szCs w:val="24"/>
          <w:lang w:val="es-ES_tradnl"/>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haya absuelto al acusado.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Como consecuencia de la aplicación del Principio de Oportunidad.</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Como consecuencia de las cláusulas del acuerdo cuando haya sido aceptado por el Juez de Conocimiento.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transcurridos treinta (30) días desde la imposición de la medida de aseguramiento, no se haya corrido traslado del escrito de acusación.</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C659E"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trans</w:t>
      </w:r>
      <w:r w:rsidR="00704C86" w:rsidRPr="00414BF5">
        <w:rPr>
          <w:rFonts w:ascii="Arial" w:eastAsia="Calibri" w:hAnsi="Arial" w:cs="Arial"/>
          <w:sz w:val="24"/>
          <w:szCs w:val="24"/>
          <w:lang w:val="es-ES_tradnl"/>
        </w:rPr>
        <w:t>curridos setenta (70) días desde el traslado de la acusación no se haya iniciado la audiencia concentrada.</w:t>
      </w:r>
    </w:p>
    <w:p w:rsidR="007C659E" w:rsidRPr="00414BF5" w:rsidRDefault="007C659E" w:rsidP="007C659E">
      <w:pPr>
        <w:spacing w:after="0" w:line="240" w:lineRule="auto"/>
        <w:jc w:val="both"/>
        <w:rPr>
          <w:rFonts w:ascii="Arial" w:eastAsia="Calibri" w:hAnsi="Arial" w:cs="Arial"/>
          <w:sz w:val="24"/>
          <w:szCs w:val="24"/>
          <w:lang w:val="es-ES_tradnl"/>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transcurridos quince (15) días desde la terminación de la audiencia concentrada no se haya iniciado la audiencia de juicio oral.</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4"/>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transcurridos treinta (30) días desde el inicio del juicio oral no se haya corrido traslado de la sentencia.</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1°. En los numerales 4 y 5 se restablecerán los términos cuando hubiere improbación de la aceptación de cargos, de los preacuerdos o de la aplicación del principio de oportunidad.</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2°. Cuando la audiencia no se haya podido iniciar o terminar por maniobras dilatorias del acusado o su defensor, no se contabilizarán dentro de los términos contenidos en este artículo, los días empleados en ellas.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3°. Cuando la audiencia no se hubiere podido iniciar o terminar por causa razonable fundada en hechos externos y objetivos de fuerza mayor, ajenos al juez o a la administración de justicia, la audiencia se iniciará o reanudará cuando haya desaparecido dicha causa.</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124. La Ley 906 de 2004 tendrá un nuevo Capítulo II en su Título I de su Libro VIII, con el siguiente nombre:</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CAPÍTULO II</w:t>
      </w:r>
    </w:p>
    <w:p w:rsidR="00704C86" w:rsidRPr="00414BF5" w:rsidRDefault="007C659E" w:rsidP="007C659E">
      <w:pPr>
        <w:spacing w:after="0" w:line="240" w:lineRule="auto"/>
        <w:jc w:val="center"/>
        <w:rPr>
          <w:rFonts w:ascii="Arial" w:eastAsia="Calibri" w:hAnsi="Arial" w:cs="Arial"/>
          <w:b/>
          <w:bCs/>
          <w:sz w:val="24"/>
          <w:szCs w:val="24"/>
          <w:lang w:val="es-ES_tradnl"/>
        </w:rPr>
      </w:pPr>
      <w:r w:rsidRPr="00414BF5">
        <w:rPr>
          <w:rFonts w:ascii="Arial" w:eastAsia="Calibri" w:hAnsi="Arial" w:cs="Arial"/>
          <w:b/>
          <w:bCs/>
          <w:sz w:val="24"/>
          <w:szCs w:val="24"/>
          <w:lang w:val="es-ES_tradnl"/>
        </w:rPr>
        <w:t>De la acusación</w:t>
      </w:r>
    </w:p>
    <w:p w:rsidR="007C659E" w:rsidRPr="00414BF5" w:rsidRDefault="007C659E" w:rsidP="007C659E">
      <w:pPr>
        <w:spacing w:after="0" w:line="240" w:lineRule="auto"/>
        <w:jc w:val="center"/>
        <w:rPr>
          <w:rFonts w:ascii="Arial" w:eastAsia="Calibri" w:hAnsi="Arial" w:cs="Arial"/>
          <w:b/>
          <w:bCs/>
          <w:sz w:val="24"/>
          <w:szCs w:val="24"/>
          <w:lang w:val="es-ES_tradnl"/>
        </w:rPr>
      </w:pPr>
    </w:p>
    <w:p w:rsidR="007C659E" w:rsidRPr="00414BF5" w:rsidRDefault="007C659E" w:rsidP="007C659E">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125. La Ley 906 de 2004 tendrá un nuevo artículo 539,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539. </w:t>
      </w:r>
      <w:r w:rsidRPr="00414BF5">
        <w:rPr>
          <w:rFonts w:ascii="Arial" w:eastAsia="Calibri" w:hAnsi="Arial" w:cs="Arial"/>
          <w:b/>
          <w:bCs/>
          <w:i/>
          <w:iCs/>
          <w:sz w:val="24"/>
          <w:szCs w:val="24"/>
          <w:lang w:val="es-ES_tradnl"/>
        </w:rPr>
        <w:t>Traslado de la acusación</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fiscal citará al indiciado para que comparezca en compañía de su defensor, así como a la víctima, con el fin de hacer entrega del escrito de acusación y realizar el descubrimiento probatorio, cuando de los elementos materiales probatorios, evidencia física o información legalmente obtenida, se pueda afirmar, con probabilidad de verdad, que la conducta delictiva existió y que el indiciado fue autor o partícipe.</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descubrimiento probatorio que haga la Fiscalía deberá ser total y del mismo deberá quedar constancia firmada por las partes.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los eventos contemplados por los artículos 127 y 291 de este código se seguirá lo dispuesto para los delitos y el traslado de la acusaci</w:t>
      </w:r>
      <w:r w:rsidR="007C659E" w:rsidRPr="00414BF5">
        <w:rPr>
          <w:rFonts w:ascii="Arial" w:eastAsia="Calibri" w:hAnsi="Arial" w:cs="Arial"/>
          <w:sz w:val="24"/>
          <w:szCs w:val="24"/>
          <w:lang w:val="es-ES_tradnl"/>
        </w:rPr>
        <w:t>ón se realizará con el defensor</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126. La Ley 906 de 2004 tendrá un nuevo artículo 540,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540. </w:t>
      </w:r>
      <w:r w:rsidRPr="00414BF5">
        <w:rPr>
          <w:rFonts w:ascii="Arial" w:eastAsia="Calibri" w:hAnsi="Arial" w:cs="Arial"/>
          <w:b/>
          <w:bCs/>
          <w:i/>
          <w:iCs/>
          <w:sz w:val="24"/>
          <w:szCs w:val="24"/>
          <w:lang w:val="es-ES_tradnl"/>
        </w:rPr>
        <w:t>Contenido de la acusación y documentos anexos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escrito de acusación deberá cumplir con los requisitos del artículo 337 del Código de Procedimiento Penal. Además deberá contener:</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5"/>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indicación del juzgado competente para conocer la acción.</w:t>
      </w:r>
    </w:p>
    <w:p w:rsidR="007C659E" w:rsidRPr="00414BF5" w:rsidRDefault="007C659E" w:rsidP="007C659E">
      <w:pPr>
        <w:pStyle w:val="Prrafodelista"/>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5"/>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Prueba sumaria que acredite la calidad de la víctima y su identificación.</w:t>
      </w:r>
    </w:p>
    <w:p w:rsidR="007C659E" w:rsidRPr="00414BF5" w:rsidRDefault="007C659E" w:rsidP="007C659E">
      <w:pPr>
        <w:spacing w:after="0" w:line="240" w:lineRule="auto"/>
        <w:jc w:val="both"/>
        <w:rPr>
          <w:rFonts w:ascii="Arial" w:eastAsia="Calibri" w:hAnsi="Arial" w:cs="Arial"/>
          <w:sz w:val="24"/>
          <w:szCs w:val="24"/>
          <w:lang w:val="es-CO"/>
        </w:rPr>
      </w:pP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127. La Ley 906 de 2004 tendrá un nuevo artículo 541,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541. </w:t>
      </w:r>
      <w:r w:rsidRPr="00414BF5">
        <w:rPr>
          <w:rFonts w:ascii="Arial" w:eastAsia="Calibri" w:hAnsi="Arial" w:cs="Arial"/>
          <w:b/>
          <w:bCs/>
          <w:i/>
          <w:iCs/>
          <w:sz w:val="24"/>
          <w:szCs w:val="24"/>
          <w:lang w:val="es-ES_tradnl"/>
        </w:rPr>
        <w:t>Aceptación de cargos en el procedimiento abreviado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Si el indiciado manifiesta su intención de aceptar los cargos, podrá acercarse al fiscal del caso, en cualquier momento previo a la audiencia concentrada.</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aceptación de cargos en esta etapa dará lugar a un beneficio punitivo de hasta la mitad de la pena. En ese caso, la Fiscalía, el indiciado y su defensor suscribirán un acta en la que conste la manifestación de aceptación de responsabilidad de manera libre, voluntaria e informada, la cual deberá anexarse al escrito de acusación. Estos documentos serán presentados ante el juez de conocimiento para que verifique la validez de la aceptación de los cargos y siga el trámite del artículo 447.</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beneficio punitivo será de hasta una tercera parte si la aceptación se hace una vez instalada la audiencia concentrada y de una sexta parte de la pena si ocurre una vez instal</w:t>
      </w:r>
      <w:r w:rsidR="007C659E" w:rsidRPr="00414BF5">
        <w:rPr>
          <w:rFonts w:ascii="Arial" w:eastAsia="Calibri" w:hAnsi="Arial" w:cs="Arial"/>
          <w:sz w:val="24"/>
          <w:szCs w:val="24"/>
          <w:lang w:val="es-ES_tradnl"/>
        </w:rPr>
        <w:t>ada la audiencia de juicio oral</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128. La Ley 906 de 2004 tendrá un nuevo artículo 542,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542. </w:t>
      </w:r>
      <w:r w:rsidRPr="00414BF5">
        <w:rPr>
          <w:rFonts w:ascii="Arial" w:eastAsia="Calibri" w:hAnsi="Arial" w:cs="Arial"/>
          <w:b/>
          <w:bCs/>
          <w:i/>
          <w:iCs/>
          <w:sz w:val="24"/>
          <w:szCs w:val="24"/>
          <w:lang w:val="es-ES_tradnl"/>
        </w:rPr>
        <w:t>Presentación de la acusación</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Cumplido lo dispuesto en el artículo 540, el fiscal presentará el escrito de acusación ante el juez competente para adelantar el juicio.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Para su presentación, el fiscal deberá anexar la siguiente información:</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6"/>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constancia de la comunicación del escrito de acusación al indiciado.</w:t>
      </w:r>
    </w:p>
    <w:p w:rsidR="007C659E" w:rsidRPr="00414BF5" w:rsidRDefault="007C659E" w:rsidP="007C659E">
      <w:pPr>
        <w:pStyle w:val="Prrafodelista"/>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6"/>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constancia de la realización del descubrimiento probatorio.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6"/>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 declaratoria de persona ausente o contumacia cuando hubiere lugar.</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 xml:space="preserve">La presentación del escrito de acusación interrumpe el término de </w:t>
      </w:r>
      <w:r w:rsidR="007C659E" w:rsidRPr="00414BF5">
        <w:rPr>
          <w:rFonts w:ascii="Arial" w:eastAsia="Calibri" w:hAnsi="Arial" w:cs="Arial"/>
          <w:sz w:val="24"/>
          <w:szCs w:val="24"/>
          <w:lang w:val="es-ES_tradnl"/>
        </w:rPr>
        <w:t>prescripción de la acción penal</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129. La Ley 906 de 2004 tendrá un nuevo artículo 543,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543. </w:t>
      </w:r>
      <w:r w:rsidRPr="00414BF5">
        <w:rPr>
          <w:rFonts w:ascii="Arial" w:eastAsia="Calibri" w:hAnsi="Arial" w:cs="Arial"/>
          <w:b/>
          <w:bCs/>
          <w:i/>
          <w:iCs/>
          <w:sz w:val="24"/>
          <w:szCs w:val="24"/>
          <w:lang w:val="es-ES_tradnl"/>
        </w:rPr>
        <w:t>Término para la audiencia concentrada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A partir del traslado del escrito de acusación el indiciado tendrá un término de sesenta (60) días para la preparación de su defensa. Vencido este término, el juez de conocimiento citará dentro de los diez (10) días siguientes a las partes e intervinientes a audiencia concentrada.</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Para la realización de la audiencia será necesaria la presencia del f</w:t>
      </w:r>
      <w:r w:rsidR="007C659E" w:rsidRPr="00414BF5">
        <w:rPr>
          <w:rFonts w:ascii="Arial" w:eastAsia="Calibri" w:hAnsi="Arial" w:cs="Arial"/>
          <w:sz w:val="24"/>
          <w:szCs w:val="24"/>
          <w:lang w:val="es-ES_tradnl"/>
        </w:rPr>
        <w:t>iscal y el defensor</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130. La Ley 906 de 2004 tendrá un nuevo artículo 544,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544. </w:t>
      </w:r>
      <w:r w:rsidRPr="00414BF5">
        <w:rPr>
          <w:rFonts w:ascii="Arial" w:eastAsia="Calibri" w:hAnsi="Arial" w:cs="Arial"/>
          <w:b/>
          <w:bCs/>
          <w:i/>
          <w:iCs/>
          <w:sz w:val="24"/>
          <w:szCs w:val="24"/>
          <w:lang w:val="es-ES_tradnl"/>
        </w:rPr>
        <w:t>Audiencia concentrada</w:t>
      </w:r>
      <w:r w:rsidRPr="00414BF5">
        <w:rPr>
          <w:rFonts w:ascii="Arial" w:eastAsia="Calibri" w:hAnsi="Arial" w:cs="Arial"/>
          <w:sz w:val="24"/>
          <w:szCs w:val="24"/>
          <w:lang w:val="es-ES_tradnl"/>
        </w:rPr>
        <w:t>. Una vez instalada la audiencia y corroborada la presencia de las partes, el juez procederá a:</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Interrogar a la víctima y al indiciado sobre la voluntad de conciliar y de ser así, se señalará un término razonable de receso para, luego, mediante acta, determinar las condiciones del acuerdo.</w:t>
      </w:r>
    </w:p>
    <w:p w:rsidR="007C659E" w:rsidRPr="00414BF5" w:rsidRDefault="007C659E" w:rsidP="007C659E">
      <w:pPr>
        <w:pStyle w:val="Prrafodelista"/>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fracasar la conciliación, interrogará al indiciado sobre su voluntad de aceptar los cargos formulados y verificará que su contestación sea libre, voluntaria e informada, advirtiéndole que de allanarse en dicha etapa sería acreedor de un beneficio punitivo de hasta la tercera parte de la pena. En caso de aceptación, se procederá a lo dispuesto en el artículo 447.</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no aceptarse los cargos por parte del indiciado, procederá a darle la palabra a las partes e intervinientes para que expresen oralmente las causales de incompetencia, impedimentos, recusaciones y nulidades.</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Acto seguido, interrogará al fiscal sobre si existen modificaciones a la acusación plasmada en el escrito de que habla el artículo 540, las cuales no podrán afectar el núcleo fáctico señalado en tal escrito.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Dará el uso de la palabra a la defensa y a la víctima para que presenten sus observaciones al escrito de acusación y sus modificaciones con respecto a los requisitos establecidos en los artículos 337 y 543. De ser procedente ordenará al fiscal que lo aclare, adicione o corrija de inmediato.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Que las partes e intervinientes manifiesten sus observaciones pertinentes al procedimiento de descubrimiento de elementos probatorios. Si el descubrimiento no estuviere completo, el juez lo rechazará conforme al artículo 346 de este Código.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Que la defensa descubra sus elementos materiales probatorios y evidencia física.</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Que la Fiscalía y la defensa enuncien la totalidad de las pruebas que harán valer en la audiencia del juicio oral y público. Lo anterior constará en un listado el cual se entregará al juez y a las partes e intervinientes al inicio de la audiencia.</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Que la Fiscalía, las víctimas y la defensa realicen sus solicitudes probatorias, de lo cual se correrá traslado a las partes e intervinientes para que se pronuncien sobre su exclusión, rechazo e inadmisibilidad.</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Que las partes e intervinientes manifiesten si tienen interés en hacer estipulaciones probatorias. En este evento, podrán reunirse previamente a la realización de la audiencia para acordar las estipulaciones probatorias que serán presentadas al juez para su aprobación. Si lo anterior no se realiza, el juez podrá durante la audiencia ordenar un receso hasta de una (1) hora a fin de que las partes puedan acordar las estipulaciones.</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7"/>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Decidir sobre las pruebas que serán presentadas en juicio.</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Parágrafo. Si durante el juicio alguna de las partes encuentra un elemento material probatorio y evidencia física significativo que debería ser descubierto, lo pondrá en conocimiento del juez quien, oídas a las partes y en consideración al perjuicio que podría producirse al derecho de defensa y la integridad del juicio, decidirá si es excepcionalmente admisible o si debe excluirse esa prueba.</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131. La Ley 906 de 2004 tendrá un nuevo artículo 545,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545. Fijación de la audiencia de juicio oral</w:t>
      </w:r>
      <w:r w:rsidRPr="00414BF5">
        <w:rPr>
          <w:rFonts w:ascii="Arial" w:eastAsia="Calibri" w:hAnsi="Arial" w:cs="Arial"/>
          <w:sz w:val="24"/>
          <w:szCs w:val="24"/>
          <w:lang w:val="es-ES_tradnl"/>
        </w:rPr>
        <w:t>. Concluida la audiencia concentrada, el juez fijará fecha y hora para el inicio del juicio que deberá realizarse dentro de los treinta (30) días siguientes a la terminación de la audiencia concentrada, sin perjuicio de lo dispuesto por el artículo 538 para los eventos en los cuales exista medida de asegura</w:t>
      </w:r>
      <w:r w:rsidR="007C659E" w:rsidRPr="00414BF5">
        <w:rPr>
          <w:rFonts w:ascii="Arial" w:eastAsia="Calibri" w:hAnsi="Arial" w:cs="Arial"/>
          <w:sz w:val="24"/>
          <w:szCs w:val="24"/>
          <w:lang w:val="es-ES_tradnl"/>
        </w:rPr>
        <w:t>miento privativa de la libertad</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132. La Ley 906 de 2004 tendrá un nuevo artículo 546,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546. </w:t>
      </w:r>
      <w:r w:rsidRPr="00414BF5">
        <w:rPr>
          <w:rFonts w:ascii="Arial" w:eastAsia="Calibri" w:hAnsi="Arial" w:cs="Arial"/>
          <w:b/>
          <w:bCs/>
          <w:i/>
          <w:iCs/>
          <w:sz w:val="24"/>
          <w:szCs w:val="24"/>
          <w:lang w:val="es-ES_tradnl"/>
        </w:rPr>
        <w:t>Trámite del juicio oral.</w:t>
      </w:r>
      <w:r w:rsidRPr="00414BF5">
        <w:rPr>
          <w:rFonts w:ascii="Arial" w:eastAsia="Calibri" w:hAnsi="Arial" w:cs="Arial"/>
          <w:sz w:val="24"/>
          <w:szCs w:val="24"/>
          <w:lang w:val="es-ES_tradnl"/>
        </w:rPr>
        <w:t> El trámite del juicio oral, seguirá las reglas establecidas en el Título IV del Libro III de este Código, exceptuando lo previsto en el artículo 447 respecto de la audiencia para proferir sentencia, ante lo cual seguirá lo disp</w:t>
      </w:r>
      <w:r w:rsidR="007C659E" w:rsidRPr="00414BF5">
        <w:rPr>
          <w:rFonts w:ascii="Arial" w:eastAsia="Calibri" w:hAnsi="Arial" w:cs="Arial"/>
          <w:sz w:val="24"/>
          <w:szCs w:val="24"/>
          <w:lang w:val="es-ES_tradnl"/>
        </w:rPr>
        <w:t>uesto por el artículo siguiente</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sz w:val="24"/>
          <w:szCs w:val="24"/>
          <w:lang w:val="es-ES_tradnl"/>
        </w:rPr>
        <w:t>Artículo 133. La Ley 906 de 2004 tendrá un nuevo artículo 547, así:</w:t>
      </w:r>
    </w:p>
    <w:p w:rsidR="007C659E" w:rsidRPr="00414BF5" w:rsidRDefault="007C659E" w:rsidP="00704C86">
      <w:pPr>
        <w:spacing w:after="0" w:line="240" w:lineRule="auto"/>
        <w:jc w:val="both"/>
        <w:rPr>
          <w:rFonts w:ascii="Arial" w:eastAsia="Calibri" w:hAnsi="Arial" w:cs="Arial"/>
          <w:b/>
          <w:bCs/>
          <w:sz w:val="24"/>
          <w:szCs w:val="24"/>
          <w:lang w:val="es-ES_tradnl"/>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547. </w:t>
      </w:r>
      <w:r w:rsidRPr="00414BF5">
        <w:rPr>
          <w:rFonts w:ascii="Arial" w:eastAsia="Calibri" w:hAnsi="Arial" w:cs="Arial"/>
          <w:b/>
          <w:bCs/>
          <w:i/>
          <w:iCs/>
          <w:sz w:val="24"/>
          <w:szCs w:val="24"/>
          <w:lang w:val="es-ES_tradnl"/>
        </w:rPr>
        <w:t>Traslado de la sentencia e interposición de recursos</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Concluida la audiencia de juicio oral, el juez contará con diez (10) días para correr traslado de la sentencia a cada una de las partes.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Vencido el término al que hace referencia el inciso anterior, las partes contarán con cinco (5) días para la presentación de los recursos que procedan contra la decisión de primera instancia. Estos se presentarán por escrito y se tramitarán conforme a lo dispuesto</w:t>
      </w:r>
      <w:r w:rsidR="007C659E" w:rsidRPr="00414BF5">
        <w:rPr>
          <w:rFonts w:ascii="Arial" w:eastAsia="Calibri" w:hAnsi="Arial" w:cs="Arial"/>
          <w:sz w:val="24"/>
          <w:szCs w:val="24"/>
          <w:lang w:val="es-ES_tradnl"/>
        </w:rPr>
        <w:t xml:space="preserve"> por el procedimiento ordinario</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134. La Ley 906 de 2004 tendrá un nuevo artículo 548,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548. </w:t>
      </w:r>
      <w:r w:rsidRPr="00414BF5">
        <w:rPr>
          <w:rFonts w:ascii="Arial" w:eastAsia="Calibri" w:hAnsi="Arial" w:cs="Arial"/>
          <w:b/>
          <w:bCs/>
          <w:i/>
          <w:iCs/>
          <w:sz w:val="24"/>
          <w:szCs w:val="24"/>
          <w:lang w:val="es-ES_tradnl"/>
        </w:rPr>
        <w:t>Notificaciones</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 xml:space="preserve">Por regla general las providencias se </w:t>
      </w:r>
      <w:r w:rsidR="007C659E" w:rsidRPr="00414BF5">
        <w:rPr>
          <w:rFonts w:ascii="Arial" w:eastAsia="Calibri" w:hAnsi="Arial" w:cs="Arial"/>
          <w:sz w:val="24"/>
          <w:szCs w:val="24"/>
          <w:lang w:val="es-ES_tradnl"/>
        </w:rPr>
        <w:t>notificarán a las partes en est</w:t>
      </w:r>
      <w:r w:rsidRPr="00414BF5">
        <w:rPr>
          <w:rFonts w:ascii="Arial" w:eastAsia="Calibri" w:hAnsi="Arial" w:cs="Arial"/>
          <w:sz w:val="24"/>
          <w:szCs w:val="24"/>
          <w:lang w:val="es-ES_tradnl"/>
        </w:rPr>
        <w:t>rados.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De manera excepcional procederá la notificación mediante comunicación escrita dirigida por telegrama, correo certificado, facsímil, correo electrónico o cualquier otro medio idóneo que haya sido indicado por las partes. En todo caso, las partes e intervinientes deberán suministrar al juez y al fiscal su dirección de correo electrónico con el propósito de surtir la notificación de las decisiones correspondientes.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imputado o acusado se encontrare privado de la libertad, las providencias notificadas en audiencia le serán comunicadas en el establecimiento de reclusión, de lo cual se dejará la respectiva constancia.</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Las decisiones adoptadas con posterioridad al vencimiento del término legal deberán ser notificadas personalmente a las partes que t</w:t>
      </w:r>
      <w:r w:rsidR="007C659E" w:rsidRPr="00414BF5">
        <w:rPr>
          <w:rFonts w:ascii="Arial" w:eastAsia="Calibri" w:hAnsi="Arial" w:cs="Arial"/>
          <w:sz w:val="24"/>
          <w:szCs w:val="24"/>
          <w:lang w:val="es-ES_tradnl"/>
        </w:rPr>
        <w:t>uvieren vocación de impugnación</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135. La Ley 906 de 2004 tendrá un nuevo Título II, con un nuevo Capítulo en su Libro VIII, con el siguiente nombre:</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TÍTULO II</w:t>
      </w:r>
    </w:p>
    <w:p w:rsidR="00704C86" w:rsidRPr="00414BF5" w:rsidRDefault="00704C86" w:rsidP="007C659E">
      <w:pPr>
        <w:spacing w:after="0" w:line="240" w:lineRule="auto"/>
        <w:jc w:val="center"/>
        <w:rPr>
          <w:rFonts w:ascii="Arial" w:eastAsia="Calibri" w:hAnsi="Arial" w:cs="Arial"/>
          <w:sz w:val="24"/>
          <w:szCs w:val="24"/>
          <w:lang w:val="es-CO"/>
        </w:rPr>
      </w:pPr>
      <w:r w:rsidRPr="00414BF5">
        <w:rPr>
          <w:rFonts w:ascii="Arial" w:eastAsia="Calibri" w:hAnsi="Arial" w:cs="Arial"/>
          <w:sz w:val="24"/>
          <w:szCs w:val="24"/>
          <w:lang w:val="es-ES_tradnl"/>
        </w:rPr>
        <w:t>DE LA ACCIÓN PENAL PRIVADA</w:t>
      </w:r>
    </w:p>
    <w:p w:rsidR="00704C86" w:rsidRPr="00414BF5" w:rsidRDefault="007C659E" w:rsidP="007C659E">
      <w:pPr>
        <w:spacing w:after="0" w:line="240" w:lineRule="auto"/>
        <w:jc w:val="center"/>
        <w:rPr>
          <w:rFonts w:ascii="Arial" w:eastAsia="Calibri" w:hAnsi="Arial" w:cs="Arial"/>
          <w:sz w:val="24"/>
          <w:szCs w:val="24"/>
          <w:lang w:val="es-ES_tradnl"/>
        </w:rPr>
      </w:pPr>
      <w:r w:rsidRPr="00414BF5">
        <w:rPr>
          <w:rFonts w:ascii="Arial" w:eastAsia="Calibri" w:hAnsi="Arial" w:cs="Arial"/>
          <w:sz w:val="24"/>
          <w:szCs w:val="24"/>
          <w:lang w:val="es-ES_tradnl"/>
        </w:rPr>
        <w:t>CAPÍTULO ÚNICO</w:t>
      </w:r>
    </w:p>
    <w:p w:rsidR="007C659E" w:rsidRPr="00414BF5" w:rsidRDefault="007C659E" w:rsidP="007C659E">
      <w:pPr>
        <w:spacing w:after="0" w:line="240" w:lineRule="auto"/>
        <w:jc w:val="center"/>
        <w:rPr>
          <w:rFonts w:ascii="Arial" w:eastAsia="Calibri" w:hAnsi="Arial" w:cs="Arial"/>
          <w:sz w:val="24"/>
          <w:szCs w:val="24"/>
          <w:lang w:val="es-ES_tradnl"/>
        </w:rPr>
      </w:pPr>
    </w:p>
    <w:p w:rsidR="007C659E" w:rsidRPr="00414BF5" w:rsidRDefault="007C659E" w:rsidP="007C659E">
      <w:pPr>
        <w:spacing w:after="0" w:line="240" w:lineRule="auto"/>
        <w:jc w:val="center"/>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136. La Ley 906 de 2004 tendrá un nuevo artículo 549,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549. </w:t>
      </w:r>
      <w:r w:rsidRPr="00414BF5">
        <w:rPr>
          <w:rFonts w:ascii="Arial" w:eastAsia="Calibri" w:hAnsi="Arial" w:cs="Arial"/>
          <w:b/>
          <w:bCs/>
          <w:i/>
          <w:iCs/>
          <w:sz w:val="24"/>
          <w:szCs w:val="24"/>
          <w:lang w:val="es-ES_tradnl"/>
        </w:rPr>
        <w:t>Acusador privado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acusador privado es aquella persona que al ser víctima de la conducta punible está facultada legalmente para ejercer la acción penal representada por su abogado.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acusador privado deberá reunir las mismas calidades que el querellante legítimo para ejercer la acción penal.</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También podrán ejercer como acusador privado las autoridades que la ley expresamente faculte para ello y solo con respecto a las conductas especí</w:t>
      </w:r>
      <w:r w:rsidR="007C659E" w:rsidRPr="00414BF5">
        <w:rPr>
          <w:rFonts w:ascii="Arial" w:eastAsia="Calibri" w:hAnsi="Arial" w:cs="Arial"/>
          <w:sz w:val="24"/>
          <w:szCs w:val="24"/>
          <w:lang w:val="es-ES_tradnl"/>
        </w:rPr>
        <w:t>ficamente habilitadas para ello</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137. La Ley 906 de 2004 tendrá un nuevo artículo 550,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550. </w:t>
      </w:r>
      <w:r w:rsidRPr="00414BF5">
        <w:rPr>
          <w:rFonts w:ascii="Arial" w:eastAsia="Calibri" w:hAnsi="Arial" w:cs="Arial"/>
          <w:b/>
          <w:bCs/>
          <w:i/>
          <w:iCs/>
          <w:sz w:val="24"/>
          <w:szCs w:val="24"/>
          <w:lang w:val="es-ES_tradnl"/>
        </w:rPr>
        <w:t>Titulares de la acción penal privada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En el proceso especial abreviado para conductas contravencionales, podrán solicitar la conversión de la acción pública en acción privada las mismas personas que en los términos del artículo 71 de este Código se entienden como querellantes legítimos y las demás autoridades que expresamente la ley faculta para ello.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trate de múltiples víctimas, deberá existir acuerdo entre todas ellas sobre la conversión de la acción penal. En caso de desacuerdo, el ejercicio de la acción penal le corresponderá a la Fiscalía. Si una vez iniciado el trámite de conversión aparece un nuevo afectado, este podrá adherir al trámite de acción privada.</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acusador privado hará las veces de fiscal y se seguirán las mismas reglas previstas para el procedimiento abreviado establecido en este Libro. En todo aquello que no haya sido previsto de forma especial por este título respecto de las facultades y deberes del acusador privado, se aplicará lo dispuesto por este c</w:t>
      </w:r>
      <w:r w:rsidR="007C659E" w:rsidRPr="00414BF5">
        <w:rPr>
          <w:rFonts w:ascii="Arial" w:eastAsia="Calibri" w:hAnsi="Arial" w:cs="Arial"/>
          <w:sz w:val="24"/>
          <w:szCs w:val="24"/>
          <w:lang w:val="es-ES_tradnl"/>
        </w:rPr>
        <w:t>ódigo en relación con el fiscal</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138. La Ley 906 de 2004 tendrá un nuevo artículo 551,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551. </w:t>
      </w:r>
      <w:r w:rsidRPr="00414BF5">
        <w:rPr>
          <w:rFonts w:ascii="Arial" w:eastAsia="Calibri" w:hAnsi="Arial" w:cs="Arial"/>
          <w:b/>
          <w:bCs/>
          <w:i/>
          <w:iCs/>
          <w:sz w:val="24"/>
          <w:szCs w:val="24"/>
          <w:lang w:val="es-ES_tradnl"/>
        </w:rPr>
        <w:t>Procedencia de la conversión</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La conversión de la acción penal pública en acción penal privada podrá solicitarse en cualquier momento ante el fiscal del caso hasta antes del tr</w:t>
      </w:r>
      <w:r w:rsidR="007C659E" w:rsidRPr="00414BF5">
        <w:rPr>
          <w:rFonts w:ascii="Arial" w:eastAsia="Calibri" w:hAnsi="Arial" w:cs="Arial"/>
          <w:sz w:val="24"/>
          <w:szCs w:val="24"/>
          <w:lang w:val="es-ES_tradnl"/>
        </w:rPr>
        <w:t>aslado del escrito de acusación</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139. La Ley 906 de 2004 tendrá un nuevo artículo 552,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552. </w:t>
      </w:r>
      <w:r w:rsidRPr="00414BF5">
        <w:rPr>
          <w:rFonts w:ascii="Arial" w:eastAsia="Calibri" w:hAnsi="Arial" w:cs="Arial"/>
          <w:b/>
          <w:bCs/>
          <w:i/>
          <w:iCs/>
          <w:sz w:val="24"/>
          <w:szCs w:val="24"/>
          <w:lang w:val="es-ES_tradnl"/>
        </w:rPr>
        <w:t>Solicitud de conversión</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Quien según lo establecido por este título pueda actuar como acusador privado, a través de su apoderado, podrá solicitar al fiscal de conocimiento la conversión de la acción penal de pública a privada. La solicitud deberá hacerse de forma escrita y el fiscal tendrá un (1) mes desde la fecha de su recibo para resolver de fondo sobre la conversión de la acción penal.</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caso de pluralidad de víctimas, la solicitud deberá contener la manifestación expresa de ca</w:t>
      </w:r>
      <w:r w:rsidR="007C659E" w:rsidRPr="00414BF5">
        <w:rPr>
          <w:rFonts w:ascii="Arial" w:eastAsia="Calibri" w:hAnsi="Arial" w:cs="Arial"/>
          <w:sz w:val="24"/>
          <w:szCs w:val="24"/>
          <w:lang w:val="es-ES_tradnl"/>
        </w:rPr>
        <w:t>da una coadyuvando la solicitud</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140. La Ley 906 de 2004 tendrá un nuevo artículo 553,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553. </w:t>
      </w:r>
      <w:r w:rsidRPr="00414BF5">
        <w:rPr>
          <w:rFonts w:ascii="Arial" w:eastAsia="Calibri" w:hAnsi="Arial" w:cs="Arial"/>
          <w:b/>
          <w:bCs/>
          <w:i/>
          <w:iCs/>
          <w:sz w:val="24"/>
          <w:szCs w:val="24"/>
          <w:lang w:val="es-ES_tradnl"/>
        </w:rPr>
        <w:t>Decisión sobre la conversión</w:t>
      </w:r>
      <w:r w:rsidRPr="00414BF5">
        <w:rPr>
          <w:rFonts w:ascii="Arial" w:eastAsia="Calibri" w:hAnsi="Arial" w:cs="Arial"/>
          <w:sz w:val="24"/>
          <w:szCs w:val="24"/>
          <w:lang w:val="es-ES_tradnl"/>
        </w:rPr>
        <w:t>. El fiscal decidirá de plano sobre la conversión o no de la acción penal teniendo en cuenta lo previsto en el inciso siguiente. En caso de aceptar la solicitud de conversión, señalará la identidad e individualización del indiciado o indiciados, los hechos que serán objeto de la acción privada y su calificación jurídica provisional.</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No se podrá autorizar la conversión de la acción penal pública en privada cuando se presente alguna de las siguientes circunstancias: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no esté plenamente identificado o individualizado el sujeto investigado;</w:t>
      </w:r>
    </w:p>
    <w:p w:rsidR="007C659E" w:rsidRPr="00414BF5" w:rsidRDefault="007C659E" w:rsidP="007C659E">
      <w:pPr>
        <w:pStyle w:val="Prrafodelista"/>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el indiciado pertenezca a una organización criminal y el hecho esté directamente relacionado con su pertenencia a esta;</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el indiciado sea inimputable;</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los hechos guarden conexidad o estén en concurso con delitos frente a los que no procede la conversión de la acción penal pública a acción privada;</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la conversión de la acción penal implique riesgo para la seguridad de la víctima;</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existan razones de política criminal, investigaciones en contexto o interés del Estado que indiquen la existencia de un interés colectivo sobre la investigación;</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C659E">
      <w:pPr>
        <w:pStyle w:val="Prrafodelista"/>
        <w:numPr>
          <w:ilvl w:val="0"/>
          <w:numId w:val="38"/>
        </w:num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trate de procesos adelantados por el sistema de responsabilidad penal para adolescentes.</w:t>
      </w:r>
    </w:p>
    <w:p w:rsidR="007C659E" w:rsidRPr="00414BF5" w:rsidRDefault="007C659E" w:rsidP="007C659E">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Si el acusador privado o su representante tuvieron conocimiento de alguna de las anteriores causales y omitieron ponerla de manifiesto, se compulsarán copias para las correspondientes investigaci</w:t>
      </w:r>
      <w:r w:rsidR="007C659E" w:rsidRPr="00414BF5">
        <w:rPr>
          <w:rFonts w:ascii="Arial" w:eastAsia="Calibri" w:hAnsi="Arial" w:cs="Arial"/>
          <w:sz w:val="24"/>
          <w:szCs w:val="24"/>
          <w:lang w:val="es-ES_tradnl"/>
        </w:rPr>
        <w:t>ones disciplinarias y/o penales</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141. La Ley 906 de 2004 tendrá un nuevo artículo 554,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554. </w:t>
      </w:r>
      <w:r w:rsidRPr="00414BF5">
        <w:rPr>
          <w:rFonts w:ascii="Arial" w:eastAsia="Calibri" w:hAnsi="Arial" w:cs="Arial"/>
          <w:b/>
          <w:bCs/>
          <w:i/>
          <w:iCs/>
          <w:sz w:val="24"/>
          <w:szCs w:val="24"/>
          <w:lang w:val="es-ES_tradnl"/>
        </w:rPr>
        <w:t>Representación del acusador privado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acusador privado deberá actuar por intermedio de abogado en ejercicio.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Solamente podrá ser nombrado un (1) acusador privado por cada proceso.</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Cuando se ordene la reversión de la acción, el acusador privado pierde su calidad de tal y solo mantendrá sus facultades como interviniente en e</w:t>
      </w:r>
      <w:r w:rsidR="007C659E" w:rsidRPr="00414BF5">
        <w:rPr>
          <w:rFonts w:ascii="Arial" w:eastAsia="Calibri" w:hAnsi="Arial" w:cs="Arial"/>
          <w:sz w:val="24"/>
          <w:szCs w:val="24"/>
          <w:lang w:val="es-ES_tradnl"/>
        </w:rPr>
        <w:t>l proceso en calidad de víctima</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142. La Ley 906 de 2004 tendrá un nuevo artículo 555,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555. </w:t>
      </w:r>
      <w:r w:rsidRPr="00414BF5">
        <w:rPr>
          <w:rFonts w:ascii="Arial" w:eastAsia="Calibri" w:hAnsi="Arial" w:cs="Arial"/>
          <w:b/>
          <w:bCs/>
          <w:i/>
          <w:iCs/>
          <w:sz w:val="24"/>
          <w:szCs w:val="24"/>
          <w:lang w:val="es-ES_tradnl"/>
        </w:rPr>
        <w:t>Actos de investigación</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El titular de la acción privada y el acusado tendrán exclusivamente las facultades en la investigación establecidas en el Título I, Capítulo VI, Libro II de este Código, relativas a las facultades de investigación de la defensa en la investigación.</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El acusador privado no podrá ejecutar actos complejos de investigación como interceptación de comunicaciones, inspecciones corporales, registros y allanamientos, entregas vigiladas, diligencias de agente encubierto y demás actos de investigación complejos que impliquen una afectación grave de derechos fundamentales.</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En todo caso, el acusador privado requerirá control previo de juez de control de garantías para el ejercicio de los actos investigativos que impliquen afectación de derechos fundamentales.</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143. La Ley 906 de 2004 tendrá un nuevo artículo 556,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556. </w:t>
      </w:r>
      <w:r w:rsidRPr="00414BF5">
        <w:rPr>
          <w:rFonts w:ascii="Arial" w:eastAsia="Calibri" w:hAnsi="Arial" w:cs="Arial"/>
          <w:b/>
          <w:bCs/>
          <w:i/>
          <w:iCs/>
          <w:sz w:val="24"/>
          <w:szCs w:val="24"/>
          <w:lang w:val="es-ES_tradnl"/>
        </w:rPr>
        <w:t>Solicitud de medida de aseguramiento</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Cuando la acción penal sea ejercida por el acusador privado, este podrá acudir directamente ante el juez de control de garantías para solicitar la medida de aseguramiento privativa o no privativa de la libertad. En caso de que esta solicitud sea elevada con anterioridad al traslado del escrito de acusación, además de lo dispuesto por el artículo 537 de este Código, el acusador privado deberá presentar la orden d</w:t>
      </w:r>
      <w:r w:rsidR="007C659E" w:rsidRPr="00414BF5">
        <w:rPr>
          <w:rFonts w:ascii="Arial" w:eastAsia="Calibri" w:hAnsi="Arial" w:cs="Arial"/>
          <w:sz w:val="24"/>
          <w:szCs w:val="24"/>
          <w:lang w:val="es-ES_tradnl"/>
        </w:rPr>
        <w:t>e conversión de la acción penal</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144. La Ley 906 de 2004 tendrá un nuevo artículo 557,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557. </w:t>
      </w:r>
      <w:r w:rsidRPr="00414BF5">
        <w:rPr>
          <w:rFonts w:ascii="Arial" w:eastAsia="Calibri" w:hAnsi="Arial" w:cs="Arial"/>
          <w:b/>
          <w:bCs/>
          <w:i/>
          <w:iCs/>
          <w:sz w:val="24"/>
          <w:szCs w:val="24"/>
          <w:lang w:val="es-ES_tradnl"/>
        </w:rPr>
        <w:t>Traslado de la custodia de los elementos materiales probatorios, evidencia física e información legalmente obtenida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Una vez ordenada la conversión de la acción pública a privada, el fiscal de conocimiento entregará los elementos materiales probatorios, evidencia física e información legalmente obtenida al apoderado del acusador privado, respetando la cadena de custodia. De este acto, se dejará un acta detallada.</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Realizado el traslado del artículo anterior, la custodia de los elementos materiales probatorios, evidencia física y la información legalmente obtenida corresponderá exc</w:t>
      </w:r>
      <w:r w:rsidR="007C659E" w:rsidRPr="00414BF5">
        <w:rPr>
          <w:rFonts w:ascii="Arial" w:eastAsia="Calibri" w:hAnsi="Arial" w:cs="Arial"/>
          <w:sz w:val="24"/>
          <w:szCs w:val="24"/>
          <w:lang w:val="es-ES_tradnl"/>
        </w:rPr>
        <w:t>lusivamente al acusador privado</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145. La Ley 906 de 2004 tendrá un nuevo artículo 558,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558. </w:t>
      </w:r>
      <w:r w:rsidRPr="00414BF5">
        <w:rPr>
          <w:rFonts w:ascii="Arial" w:eastAsia="Calibri" w:hAnsi="Arial" w:cs="Arial"/>
          <w:b/>
          <w:bCs/>
          <w:i/>
          <w:iCs/>
          <w:sz w:val="24"/>
          <w:szCs w:val="24"/>
          <w:lang w:val="es-ES_tradnl"/>
        </w:rPr>
        <w:t>Reversión</w:t>
      </w:r>
      <w:r w:rsidRPr="00414BF5">
        <w:rPr>
          <w:rFonts w:ascii="Arial" w:eastAsia="Calibri" w:hAnsi="Arial" w:cs="Arial"/>
          <w:sz w:val="24"/>
          <w:szCs w:val="24"/>
          <w:lang w:val="es-ES_tradnl"/>
        </w:rPr>
        <w:t>. En cualquier momento de la actuación, de oficio o por solicitud de parte, el fiscal que autorizó la conversión podrá ordenar que la acción privada vuelva a ser pública y desplazar en el ejercicio de la acción penal al acusador privado cuando sobrevenga alguna de las circunstancias descritas en el artículo 553. En este evento, el fiscal retomará la actuación en la etapa procesal en que se encuentre.</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146. La Ley 906 de 2004 tendrá un nuevo artículo 559,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559. </w:t>
      </w:r>
      <w:r w:rsidRPr="00414BF5">
        <w:rPr>
          <w:rFonts w:ascii="Arial" w:eastAsia="Calibri" w:hAnsi="Arial" w:cs="Arial"/>
          <w:b/>
          <w:bCs/>
          <w:i/>
          <w:iCs/>
          <w:sz w:val="24"/>
          <w:szCs w:val="24"/>
          <w:lang w:val="es-ES_tradnl"/>
        </w:rPr>
        <w:t>Traslado y presentación de la acusación privada</w:t>
      </w:r>
      <w:r w:rsidRPr="00414BF5">
        <w:rPr>
          <w:rFonts w:ascii="Arial" w:eastAsia="Calibri" w:hAnsi="Arial" w:cs="Arial"/>
          <w:i/>
          <w:iCs/>
          <w:sz w:val="24"/>
          <w:szCs w:val="24"/>
          <w:lang w:val="es-ES_tradnl"/>
        </w:rPr>
        <w:t>.</w:t>
      </w:r>
      <w:r w:rsidRPr="00414BF5">
        <w:rPr>
          <w:rFonts w:ascii="Arial" w:eastAsia="Calibri" w:hAnsi="Arial" w:cs="Arial"/>
          <w:sz w:val="24"/>
          <w:szCs w:val="24"/>
          <w:lang w:val="es-ES_tradnl"/>
        </w:rPr>
        <w:t> Además de lo dispuesto para la acusación en el procedimiento contravencional, el escrito de acusación deberá tener como anexo la orden emitida por el fiscal que autoriza la conversión</w:t>
      </w:r>
      <w:r w:rsidR="007C659E" w:rsidRPr="00414BF5">
        <w:rPr>
          <w:rFonts w:ascii="Arial" w:eastAsia="Calibri" w:hAnsi="Arial" w:cs="Arial"/>
          <w:sz w:val="24"/>
          <w:szCs w:val="24"/>
          <w:lang w:val="es-ES_tradnl"/>
        </w:rPr>
        <w:t xml:space="preserve"> de la acción pública a privada</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Artículo 147. La Ley 906 de 2004 tendrá un nuevo artículo 560, así:</w:t>
      </w: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ES_tradnl"/>
        </w:rPr>
      </w:pPr>
      <w:r w:rsidRPr="00414BF5">
        <w:rPr>
          <w:rFonts w:ascii="Arial" w:eastAsia="Calibri" w:hAnsi="Arial" w:cs="Arial"/>
          <w:b/>
          <w:bCs/>
          <w:sz w:val="24"/>
          <w:szCs w:val="24"/>
          <w:lang w:val="es-ES_tradnl"/>
        </w:rPr>
        <w:t>Artículo 560. </w:t>
      </w:r>
      <w:r w:rsidRPr="00414BF5">
        <w:rPr>
          <w:rFonts w:ascii="Arial" w:eastAsia="Calibri" w:hAnsi="Arial" w:cs="Arial"/>
          <w:b/>
          <w:bCs/>
          <w:i/>
          <w:iCs/>
          <w:sz w:val="24"/>
          <w:szCs w:val="24"/>
          <w:lang w:val="es-ES_tradnl"/>
        </w:rPr>
        <w:t>Preclusión por atipicidad absoluta</w:t>
      </w:r>
      <w:r w:rsidRPr="00414BF5">
        <w:rPr>
          <w:rFonts w:ascii="Arial" w:eastAsia="Calibri" w:hAnsi="Arial" w:cs="Arial"/>
          <w:i/>
          <w:iCs/>
          <w:sz w:val="24"/>
          <w:szCs w:val="24"/>
          <w:lang w:val="es-ES_tradnl"/>
        </w:rPr>
        <w:t>. </w:t>
      </w:r>
      <w:r w:rsidRPr="00414BF5">
        <w:rPr>
          <w:rFonts w:ascii="Arial" w:eastAsia="Calibri" w:hAnsi="Arial" w:cs="Arial"/>
          <w:sz w:val="24"/>
          <w:szCs w:val="24"/>
          <w:lang w:val="es-ES_tradnl"/>
        </w:rPr>
        <w:t xml:space="preserve">Además de lo previsto por el parágrafo del artículo 332 de este código, la defensa podrá solicitar al juez de conocimiento la preclusión cuando al acusado se le atribuya una conducta que no </w:t>
      </w:r>
      <w:r w:rsidR="007C659E" w:rsidRPr="00414BF5">
        <w:rPr>
          <w:rFonts w:ascii="Arial" w:eastAsia="Calibri" w:hAnsi="Arial" w:cs="Arial"/>
          <w:sz w:val="24"/>
          <w:szCs w:val="24"/>
          <w:lang w:val="es-ES_tradnl"/>
        </w:rPr>
        <w:t>esté tipificada en la ley penal</w:t>
      </w:r>
      <w:r w:rsidRPr="00414BF5">
        <w:rPr>
          <w:rFonts w:ascii="Arial" w:eastAsia="Calibri" w:hAnsi="Arial" w:cs="Arial"/>
          <w:sz w:val="24"/>
          <w:szCs w:val="24"/>
          <w:lang w:val="es-ES_tradnl"/>
        </w:rPr>
        <w:t>.</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C659E" w:rsidP="00704C86">
      <w:pPr>
        <w:spacing w:after="0" w:line="240" w:lineRule="auto"/>
        <w:jc w:val="both"/>
        <w:rPr>
          <w:rFonts w:ascii="Arial" w:eastAsia="Calibri" w:hAnsi="Arial" w:cs="Arial"/>
          <w:sz w:val="24"/>
          <w:szCs w:val="24"/>
          <w:lang w:val="es-ES_tradnl"/>
        </w:rPr>
      </w:pPr>
      <w:r w:rsidRPr="00414BF5">
        <w:rPr>
          <w:rFonts w:ascii="Arial" w:eastAsia="Calibri" w:hAnsi="Arial" w:cs="Arial"/>
          <w:sz w:val="24"/>
          <w:szCs w:val="24"/>
          <w:lang w:val="es-ES_tradnl"/>
        </w:rPr>
        <w:t>Ar</w:t>
      </w:r>
      <w:r w:rsidR="00704C86" w:rsidRPr="00414BF5">
        <w:rPr>
          <w:rFonts w:ascii="Arial" w:eastAsia="Calibri" w:hAnsi="Arial" w:cs="Arial"/>
          <w:sz w:val="24"/>
          <w:szCs w:val="24"/>
          <w:lang w:val="es-ES_tradnl"/>
        </w:rPr>
        <w:t>tículo 148. </w:t>
      </w:r>
      <w:r w:rsidR="00704C86" w:rsidRPr="00414BF5">
        <w:rPr>
          <w:rFonts w:ascii="Arial" w:eastAsia="Calibri" w:hAnsi="Arial" w:cs="Arial"/>
          <w:i/>
          <w:iCs/>
          <w:sz w:val="24"/>
          <w:szCs w:val="24"/>
          <w:lang w:val="es-ES_tradnl"/>
        </w:rPr>
        <w:t>Derogatoria</w:t>
      </w:r>
      <w:r w:rsidR="00704C86" w:rsidRPr="00414BF5">
        <w:rPr>
          <w:rFonts w:ascii="Arial" w:eastAsia="Calibri" w:hAnsi="Arial" w:cs="Arial"/>
          <w:sz w:val="24"/>
          <w:szCs w:val="24"/>
          <w:lang w:val="es-ES_tradnl"/>
        </w:rPr>
        <w:t>. Deróguense los artículos 107, 118, 120, 121, 193, 194, 198, 200, 219B, 230, 236, 242, 243, 249, 252, 253, 254, 255, 256, 257, 259, 266, 279, 281, 283, 284, 295, 296, 300, 305, 355, 416, 419, 420, 422, 431, 432, 437, 439, 445, 462 y 465; así como el Capítulo Séptimo del Título I, los Capítulos Sexto y Noveno del Título III, el Título V y los Capítulos Cuarto y Séptimo del Título VII del Libro Segundo de la Ley 599 de 2000.</w:t>
      </w:r>
    </w:p>
    <w:p w:rsidR="007C659E" w:rsidRPr="00414BF5" w:rsidRDefault="007C659E" w:rsidP="00704C86">
      <w:pPr>
        <w:spacing w:after="0" w:line="240" w:lineRule="auto"/>
        <w:jc w:val="both"/>
        <w:rPr>
          <w:rFonts w:ascii="Arial" w:eastAsia="Calibri" w:hAnsi="Arial" w:cs="Arial"/>
          <w:sz w:val="24"/>
          <w:szCs w:val="24"/>
          <w:lang w:val="es-ES_tradnl"/>
        </w:rPr>
      </w:pPr>
    </w:p>
    <w:p w:rsidR="007C659E" w:rsidRPr="00414BF5" w:rsidRDefault="007C659E" w:rsidP="00704C86">
      <w:pPr>
        <w:spacing w:after="0" w:line="240" w:lineRule="auto"/>
        <w:jc w:val="both"/>
        <w:rPr>
          <w:rFonts w:ascii="Arial" w:eastAsia="Calibri" w:hAnsi="Arial" w:cs="Arial"/>
          <w:sz w:val="24"/>
          <w:szCs w:val="24"/>
          <w:lang w:val="es-CO"/>
        </w:rPr>
      </w:pPr>
    </w:p>
    <w:p w:rsidR="00704C86" w:rsidRPr="00414BF5" w:rsidRDefault="00704C86" w:rsidP="00704C86">
      <w:pPr>
        <w:spacing w:after="0" w:line="240" w:lineRule="auto"/>
        <w:jc w:val="both"/>
        <w:rPr>
          <w:rFonts w:ascii="Arial" w:eastAsia="Calibri" w:hAnsi="Arial" w:cs="Arial"/>
          <w:sz w:val="24"/>
          <w:szCs w:val="24"/>
          <w:lang w:val="es-CO"/>
        </w:rPr>
      </w:pPr>
      <w:r w:rsidRPr="00414BF5">
        <w:rPr>
          <w:rFonts w:ascii="Arial" w:eastAsia="Calibri" w:hAnsi="Arial" w:cs="Arial"/>
          <w:b/>
          <w:bCs/>
          <w:sz w:val="24"/>
          <w:szCs w:val="24"/>
          <w:lang w:val="es-ES_tradnl"/>
        </w:rPr>
        <w:t>Artículo 145. </w:t>
      </w:r>
      <w:r w:rsidRPr="00414BF5">
        <w:rPr>
          <w:rFonts w:ascii="Arial" w:eastAsia="Calibri" w:hAnsi="Arial" w:cs="Arial"/>
          <w:b/>
          <w:bCs/>
          <w:i/>
          <w:iCs/>
          <w:sz w:val="24"/>
          <w:szCs w:val="24"/>
          <w:lang w:val="es-ES_tradnl"/>
        </w:rPr>
        <w:t>Vigencia</w:t>
      </w:r>
      <w:r w:rsidRPr="00414BF5">
        <w:rPr>
          <w:rFonts w:ascii="Arial" w:eastAsia="Calibri" w:hAnsi="Arial" w:cs="Arial"/>
          <w:sz w:val="24"/>
          <w:szCs w:val="24"/>
          <w:lang w:val="es-ES_tradnl"/>
        </w:rPr>
        <w:t>. La presente ley regirá a partir de la fecha su promulgación.</w:t>
      </w:r>
    </w:p>
    <w:p w:rsidR="00F64DD8" w:rsidRPr="00414BF5" w:rsidRDefault="00F64DD8" w:rsidP="005E61BF">
      <w:pPr>
        <w:pStyle w:val="NormalWeb"/>
        <w:shd w:val="clear" w:color="auto" w:fill="FFFFFF"/>
        <w:spacing w:before="0" w:beforeAutospacing="0" w:after="0" w:afterAutospacing="0"/>
        <w:jc w:val="both"/>
        <w:rPr>
          <w:rFonts w:ascii="Arial" w:hAnsi="Arial" w:cs="Arial"/>
          <w:b/>
          <w:color w:val="000000"/>
          <w:u w:val="single"/>
          <w:lang w:val="es-CO"/>
        </w:rPr>
      </w:pPr>
    </w:p>
    <w:p w:rsidR="007C659E" w:rsidRPr="00414BF5" w:rsidRDefault="007C659E" w:rsidP="005E61BF">
      <w:pPr>
        <w:pStyle w:val="NormalWeb"/>
        <w:shd w:val="clear" w:color="auto" w:fill="FFFFFF"/>
        <w:spacing w:before="0" w:beforeAutospacing="0" w:after="0" w:afterAutospacing="0"/>
        <w:jc w:val="both"/>
        <w:rPr>
          <w:rFonts w:ascii="Arial" w:hAnsi="Arial" w:cs="Arial"/>
          <w:b/>
          <w:color w:val="000000"/>
          <w:u w:val="single"/>
          <w:lang w:val="es-CO"/>
        </w:rPr>
      </w:pPr>
    </w:p>
    <w:p w:rsidR="005F4214" w:rsidRPr="00414BF5" w:rsidRDefault="005F4214" w:rsidP="00856CA9">
      <w:pPr>
        <w:pStyle w:val="NormalWeb"/>
        <w:shd w:val="clear" w:color="auto" w:fill="FFFFFF"/>
        <w:spacing w:before="0" w:beforeAutospacing="0" w:after="0" w:afterAutospacing="0"/>
        <w:jc w:val="both"/>
        <w:rPr>
          <w:rFonts w:ascii="Arial" w:hAnsi="Arial" w:cs="Arial"/>
          <w:b/>
          <w:color w:val="000000"/>
        </w:rPr>
      </w:pPr>
    </w:p>
    <w:p w:rsidR="00856CA9" w:rsidRPr="004C22C2" w:rsidRDefault="00856CA9" w:rsidP="00856CA9">
      <w:pPr>
        <w:pStyle w:val="NormalWeb"/>
        <w:shd w:val="clear" w:color="auto" w:fill="FFFFFF"/>
        <w:spacing w:before="0" w:beforeAutospacing="0" w:after="0" w:afterAutospacing="0"/>
        <w:jc w:val="both"/>
        <w:rPr>
          <w:rFonts w:ascii="Arial" w:hAnsi="Arial" w:cs="Arial"/>
          <w:b/>
          <w:color w:val="000000"/>
        </w:rPr>
      </w:pPr>
      <w:r w:rsidRPr="004C22C2">
        <w:rPr>
          <w:rFonts w:ascii="Arial" w:hAnsi="Arial" w:cs="Arial"/>
          <w:b/>
          <w:color w:val="000000"/>
        </w:rPr>
        <w:t xml:space="preserve">Cordialmente, </w:t>
      </w:r>
    </w:p>
    <w:p w:rsidR="00856CA9" w:rsidRPr="00414BF5" w:rsidRDefault="00856CA9" w:rsidP="00856CA9">
      <w:pPr>
        <w:pStyle w:val="NormalWeb"/>
        <w:shd w:val="clear" w:color="auto" w:fill="FFFFFF"/>
        <w:spacing w:before="0" w:beforeAutospacing="0" w:after="0" w:afterAutospacing="0"/>
        <w:jc w:val="both"/>
        <w:rPr>
          <w:rFonts w:ascii="Arial" w:hAnsi="Arial" w:cs="Arial"/>
          <w:b/>
          <w:color w:val="000000"/>
          <w:highlight w:val="yellow"/>
        </w:rPr>
      </w:pPr>
    </w:p>
    <w:p w:rsidR="005C75F1" w:rsidRPr="00414BF5" w:rsidRDefault="005C75F1" w:rsidP="00856CA9">
      <w:pPr>
        <w:pStyle w:val="NormalWeb"/>
        <w:shd w:val="clear" w:color="auto" w:fill="FFFFFF"/>
        <w:spacing w:before="0" w:beforeAutospacing="0" w:after="0" w:afterAutospacing="0"/>
        <w:jc w:val="both"/>
        <w:rPr>
          <w:rFonts w:ascii="Arial" w:hAnsi="Arial" w:cs="Arial"/>
          <w:b/>
          <w:color w:val="000000"/>
          <w:highlight w:val="yellow"/>
        </w:rPr>
      </w:pPr>
    </w:p>
    <w:p w:rsidR="00856CA9" w:rsidRPr="00414BF5" w:rsidRDefault="00856CA9" w:rsidP="00856CA9">
      <w:pPr>
        <w:pStyle w:val="NormalWeb"/>
        <w:shd w:val="clear" w:color="auto" w:fill="FFFFFF"/>
        <w:spacing w:before="0" w:beforeAutospacing="0" w:after="0" w:afterAutospacing="0"/>
        <w:jc w:val="both"/>
        <w:rPr>
          <w:rFonts w:ascii="Arial" w:hAnsi="Arial" w:cs="Arial"/>
          <w:b/>
          <w:color w:val="000000"/>
          <w:highlight w:val="yellow"/>
        </w:rPr>
      </w:pPr>
    </w:p>
    <w:p w:rsidR="004C22C2" w:rsidRPr="00EA2E07" w:rsidRDefault="004C22C2" w:rsidP="004C22C2">
      <w:pPr>
        <w:pStyle w:val="NormalWeb"/>
        <w:shd w:val="clear" w:color="auto" w:fill="FFFFFF"/>
        <w:spacing w:before="0" w:beforeAutospacing="0" w:after="0" w:afterAutospacing="0"/>
        <w:jc w:val="both"/>
        <w:rPr>
          <w:rFonts w:ascii="Arial" w:hAnsi="Arial" w:cs="Arial"/>
          <w:b/>
          <w:color w:val="000000"/>
        </w:rPr>
      </w:pPr>
    </w:p>
    <w:p w:rsidR="004C22C2" w:rsidRPr="004C22C2" w:rsidRDefault="004C22C2" w:rsidP="004C22C2">
      <w:pPr>
        <w:pStyle w:val="NormalWeb"/>
        <w:shd w:val="clear" w:color="auto" w:fill="FFFFFF"/>
        <w:spacing w:before="0" w:beforeAutospacing="0" w:after="0" w:afterAutospacing="0"/>
        <w:jc w:val="both"/>
        <w:rPr>
          <w:rFonts w:ascii="Arial" w:hAnsi="Arial" w:cs="Arial"/>
          <w:b/>
          <w:color w:val="000000"/>
        </w:rPr>
      </w:pPr>
      <w:r>
        <w:rPr>
          <w:rFonts w:ascii="Arial" w:hAnsi="Arial" w:cs="Arial"/>
          <w:b/>
          <w:color w:val="000000"/>
        </w:rPr>
        <w:t>HERNAN PENAGOS GIRALDO</w:t>
      </w:r>
      <w:r w:rsidRPr="004C22C2">
        <w:rPr>
          <w:rFonts w:ascii="Arial" w:hAnsi="Arial" w:cs="Arial"/>
          <w:b/>
          <w:color w:val="000000"/>
        </w:rPr>
        <w:t xml:space="preserve"> </w:t>
      </w:r>
      <w:r>
        <w:rPr>
          <w:rFonts w:ascii="Arial" w:hAnsi="Arial" w:cs="Arial"/>
          <w:b/>
          <w:color w:val="000000"/>
        </w:rPr>
        <w:tab/>
        <w:t xml:space="preserve">                     OSCAR HERNAN SANCHEZ</w:t>
      </w:r>
      <w:r w:rsidRPr="004C22C2">
        <w:rPr>
          <w:rFonts w:ascii="Arial" w:hAnsi="Arial" w:cs="Arial"/>
          <w:b/>
          <w:color w:val="000000"/>
        </w:rPr>
        <w:tab/>
      </w:r>
    </w:p>
    <w:p w:rsidR="004C22C2" w:rsidRPr="004C22C2" w:rsidRDefault="004C22C2" w:rsidP="004C22C2">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Coordinador 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t>Ponente</w:t>
      </w: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r>
        <w:rPr>
          <w:rFonts w:ascii="Arial" w:hAnsi="Arial" w:cs="Arial"/>
          <w:b/>
          <w:sz w:val="24"/>
          <w:szCs w:val="24"/>
          <w:lang w:val="es-ES_tradnl"/>
        </w:rPr>
        <w:t>PEDRITO TOMAS PEREIRA</w:t>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t>EDWARD DAVID RODRIGUEZ</w:t>
      </w:r>
    </w:p>
    <w:p w:rsidR="004C22C2" w:rsidRPr="004C22C2" w:rsidRDefault="004C22C2" w:rsidP="004C22C2">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t>Ponente</w:t>
      </w: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r>
        <w:rPr>
          <w:rFonts w:ascii="Arial" w:hAnsi="Arial" w:cs="Arial"/>
          <w:b/>
          <w:sz w:val="24"/>
          <w:szCs w:val="24"/>
          <w:lang w:val="es-ES_tradnl"/>
        </w:rPr>
        <w:t>RODRIGO LARA RESTREPO</w:t>
      </w:r>
      <w:r w:rsidRPr="004C22C2">
        <w:rPr>
          <w:rFonts w:ascii="Arial" w:hAnsi="Arial" w:cs="Arial"/>
          <w:b/>
          <w:sz w:val="24"/>
          <w:szCs w:val="24"/>
          <w:lang w:val="es-ES_tradnl"/>
        </w:rPr>
        <w:tab/>
        <w:t xml:space="preserve"> </w:t>
      </w:r>
      <w:r>
        <w:rPr>
          <w:rFonts w:ascii="Arial" w:hAnsi="Arial" w:cs="Arial"/>
          <w:b/>
          <w:sz w:val="24"/>
          <w:szCs w:val="24"/>
          <w:lang w:val="es-ES_tradnl"/>
        </w:rPr>
        <w:tab/>
      </w:r>
      <w:r>
        <w:rPr>
          <w:rFonts w:ascii="Arial" w:hAnsi="Arial" w:cs="Arial"/>
          <w:b/>
          <w:sz w:val="24"/>
          <w:szCs w:val="24"/>
          <w:lang w:val="es-ES_tradnl"/>
        </w:rPr>
        <w:tab/>
        <w:t>ANGELICA LISBETH LOZANO</w:t>
      </w:r>
    </w:p>
    <w:p w:rsidR="004C22C2" w:rsidRPr="004C22C2" w:rsidRDefault="004C22C2" w:rsidP="004C22C2">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Pr>
          <w:rFonts w:ascii="Arial" w:hAnsi="Arial" w:cs="Arial"/>
          <w:b/>
          <w:sz w:val="24"/>
          <w:szCs w:val="24"/>
          <w:lang w:val="es-ES_tradnl"/>
        </w:rPr>
        <w:t>Ponente</w:t>
      </w: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p>
    <w:p w:rsidR="004C22C2" w:rsidRPr="004C22C2" w:rsidRDefault="004C22C2" w:rsidP="004C22C2">
      <w:pPr>
        <w:spacing w:after="0" w:line="240" w:lineRule="auto"/>
        <w:jc w:val="both"/>
        <w:rPr>
          <w:rFonts w:ascii="Arial" w:hAnsi="Arial" w:cs="Arial"/>
          <w:b/>
          <w:sz w:val="24"/>
          <w:szCs w:val="24"/>
          <w:lang w:val="es-ES_tradnl"/>
        </w:rPr>
      </w:pPr>
      <w:r>
        <w:rPr>
          <w:rFonts w:ascii="Arial" w:hAnsi="Arial" w:cs="Arial"/>
          <w:b/>
          <w:sz w:val="24"/>
          <w:szCs w:val="24"/>
          <w:lang w:val="es-ES_tradnl"/>
        </w:rPr>
        <w:t>CARLOS GERMÁN NAVAS TALERO</w:t>
      </w:r>
      <w:r w:rsidRPr="004C22C2">
        <w:rPr>
          <w:rFonts w:ascii="Arial" w:hAnsi="Arial" w:cs="Arial"/>
          <w:b/>
          <w:sz w:val="24"/>
          <w:szCs w:val="24"/>
          <w:lang w:val="es-ES_tradnl"/>
        </w:rPr>
        <w:tab/>
      </w:r>
      <w:r w:rsidRPr="004C22C2">
        <w:rPr>
          <w:rFonts w:ascii="Arial" w:hAnsi="Arial" w:cs="Arial"/>
          <w:b/>
          <w:sz w:val="24"/>
          <w:szCs w:val="24"/>
          <w:lang w:val="es-ES_tradnl"/>
        </w:rPr>
        <w:tab/>
      </w:r>
      <w:r>
        <w:rPr>
          <w:rFonts w:ascii="Arial" w:hAnsi="Arial" w:cs="Arial"/>
          <w:b/>
          <w:sz w:val="24"/>
          <w:szCs w:val="24"/>
          <w:lang w:val="es-ES_tradnl"/>
        </w:rPr>
        <w:t>FERNANDO DE LA PEÑA MARQUEZ</w:t>
      </w:r>
      <w:r w:rsidRPr="004C22C2">
        <w:rPr>
          <w:rFonts w:ascii="Arial" w:hAnsi="Arial" w:cs="Arial"/>
          <w:b/>
          <w:sz w:val="24"/>
          <w:szCs w:val="24"/>
          <w:lang w:val="es-ES_tradnl"/>
        </w:rPr>
        <w:t xml:space="preserve"> </w:t>
      </w:r>
    </w:p>
    <w:p w:rsidR="004C22C2" w:rsidRDefault="004C22C2" w:rsidP="004C22C2">
      <w:pPr>
        <w:spacing w:after="0" w:line="240" w:lineRule="auto"/>
        <w:jc w:val="both"/>
        <w:rPr>
          <w:rFonts w:ascii="Arial" w:hAnsi="Arial" w:cs="Arial"/>
          <w:b/>
          <w:sz w:val="24"/>
          <w:szCs w:val="24"/>
          <w:lang w:val="es-ES_tradnl"/>
        </w:rPr>
      </w:pPr>
      <w:r w:rsidRPr="004C22C2">
        <w:rPr>
          <w:rFonts w:ascii="Arial" w:hAnsi="Arial" w:cs="Arial"/>
          <w:b/>
          <w:sz w:val="24"/>
          <w:szCs w:val="24"/>
          <w:lang w:val="es-ES_tradnl"/>
        </w:rPr>
        <w:t xml:space="preserve">Ponente </w:t>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r>
      <w:r w:rsidRPr="004C22C2">
        <w:rPr>
          <w:rFonts w:ascii="Arial" w:hAnsi="Arial" w:cs="Arial"/>
          <w:b/>
          <w:sz w:val="24"/>
          <w:szCs w:val="24"/>
          <w:lang w:val="es-ES_tradnl"/>
        </w:rPr>
        <w:tab/>
        <w:t>Ponente</w:t>
      </w:r>
    </w:p>
    <w:p w:rsidR="0061480E" w:rsidRPr="00414BF5" w:rsidRDefault="0061480E" w:rsidP="00856CA9">
      <w:pPr>
        <w:pStyle w:val="NormalWeb"/>
        <w:shd w:val="clear" w:color="auto" w:fill="FFFFFF"/>
        <w:spacing w:before="0" w:beforeAutospacing="0" w:after="0" w:afterAutospacing="0"/>
        <w:jc w:val="both"/>
        <w:rPr>
          <w:rFonts w:ascii="Arial" w:hAnsi="Arial" w:cs="Arial"/>
          <w:b/>
          <w:color w:val="000000"/>
          <w:highlight w:val="yellow"/>
        </w:rPr>
      </w:pPr>
    </w:p>
    <w:sectPr w:rsidR="0061480E" w:rsidRPr="00414BF5" w:rsidSect="00CE780B">
      <w:headerReference w:type="default" r:id="rId8"/>
      <w:footerReference w:type="default" r:id="rId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D3" w:rsidRDefault="003D26D3" w:rsidP="007E73D7">
      <w:pPr>
        <w:spacing w:after="0" w:line="240" w:lineRule="auto"/>
      </w:pPr>
      <w:r>
        <w:separator/>
      </w:r>
    </w:p>
  </w:endnote>
  <w:endnote w:type="continuationSeparator" w:id="0">
    <w:p w:rsidR="003D26D3" w:rsidRDefault="003D26D3" w:rsidP="007E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56697"/>
      <w:docPartObj>
        <w:docPartGallery w:val="Page Numbers (Bottom of Page)"/>
        <w:docPartUnique/>
      </w:docPartObj>
    </w:sdtPr>
    <w:sdtEndPr/>
    <w:sdtContent>
      <w:p w:rsidR="006A4B6B" w:rsidRDefault="006A4B6B">
        <w:pPr>
          <w:pStyle w:val="Piedepgina"/>
          <w:jc w:val="right"/>
        </w:pPr>
        <w:r>
          <w:fldChar w:fldCharType="begin"/>
        </w:r>
        <w:r>
          <w:instrText>PAGE   \* MERGEFORMAT</w:instrText>
        </w:r>
        <w:r>
          <w:fldChar w:fldCharType="separate"/>
        </w:r>
        <w:r w:rsidR="00D53C05">
          <w:rPr>
            <w:noProof/>
          </w:rPr>
          <w:t>1</w:t>
        </w:r>
        <w:r>
          <w:fldChar w:fldCharType="end"/>
        </w:r>
      </w:p>
    </w:sdtContent>
  </w:sdt>
  <w:p w:rsidR="006A4B6B" w:rsidRDefault="006A4B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D3" w:rsidRDefault="003D26D3" w:rsidP="007E73D7">
      <w:pPr>
        <w:spacing w:after="0" w:line="240" w:lineRule="auto"/>
      </w:pPr>
      <w:r>
        <w:separator/>
      </w:r>
    </w:p>
  </w:footnote>
  <w:footnote w:type="continuationSeparator" w:id="0">
    <w:p w:rsidR="003D26D3" w:rsidRDefault="003D26D3" w:rsidP="007E73D7">
      <w:pPr>
        <w:spacing w:after="0" w:line="240" w:lineRule="auto"/>
      </w:pPr>
      <w:r>
        <w:continuationSeparator/>
      </w:r>
    </w:p>
  </w:footnote>
  <w:footnote w:id="1">
    <w:p w:rsidR="006A4B6B" w:rsidRPr="00082CB4" w:rsidRDefault="006A4B6B" w:rsidP="00031C39">
      <w:pPr>
        <w:pStyle w:val="Textonotapie"/>
        <w:rPr>
          <w:lang w:val="es-CO"/>
        </w:rPr>
      </w:pPr>
      <w:r>
        <w:rPr>
          <w:rStyle w:val="Refdenotaalpie"/>
        </w:rPr>
        <w:footnoteRef/>
      </w:r>
      <w:r>
        <w:t xml:space="preserve"> </w:t>
      </w:r>
      <w:r>
        <w:rPr>
          <w:lang w:val="es-CO"/>
        </w:rPr>
        <w:t>C-879-08</w:t>
      </w:r>
    </w:p>
  </w:footnote>
  <w:footnote w:id="2">
    <w:p w:rsidR="006A4B6B" w:rsidRPr="00FD4A53" w:rsidRDefault="006A4B6B" w:rsidP="00031C39">
      <w:pPr>
        <w:pStyle w:val="Textonotapie"/>
        <w:jc w:val="both"/>
        <w:rPr>
          <w:rFonts w:ascii="Book Antiqua" w:hAnsi="Book Antiqua"/>
        </w:rPr>
      </w:pPr>
      <w:r w:rsidRPr="00FD4A53">
        <w:rPr>
          <w:rStyle w:val="Refdenotaalpie"/>
          <w:rFonts w:ascii="Book Antiqua" w:hAnsi="Book Antiqua"/>
        </w:rPr>
        <w:footnoteRef/>
      </w:r>
      <w:r w:rsidRPr="00FD4A53">
        <w:rPr>
          <w:rFonts w:ascii="Book Antiqua" w:hAnsi="Book Antiqua"/>
        </w:rPr>
        <w:t xml:space="preserve"> Es de anotar que el juez también conocerá del escrito de acusación y que tanto  la víctima, como el acusado pueden pronunciarse frente al mismo. Sin embargo, esto se realiza en la audiencia concentrada y el acto meramente informativo se refiere es a poner de presente el escrito de acusación al acusado. </w:t>
      </w:r>
    </w:p>
  </w:footnote>
  <w:footnote w:id="3">
    <w:p w:rsidR="006A4B6B" w:rsidRPr="00FD4A53" w:rsidRDefault="006A4B6B" w:rsidP="00031C39">
      <w:pPr>
        <w:pStyle w:val="Textonotapie"/>
        <w:jc w:val="both"/>
        <w:rPr>
          <w:rFonts w:ascii="Book Antiqua" w:hAnsi="Book Antiqua"/>
        </w:rPr>
      </w:pPr>
      <w:r w:rsidRPr="00FD4A53">
        <w:rPr>
          <w:rStyle w:val="Refdenotaalpie"/>
          <w:rFonts w:ascii="Book Antiqua" w:hAnsi="Book Antiqua"/>
        </w:rPr>
        <w:footnoteRef/>
      </w:r>
      <w:r w:rsidRPr="00FD4A53">
        <w:rPr>
          <w:rFonts w:ascii="Book Antiqua" w:hAnsi="Book Antiqua"/>
        </w:rPr>
        <w:t xml:space="preserve"> ROXIN. Claus, (1997) </w:t>
      </w:r>
      <w:r w:rsidRPr="00FD4A53">
        <w:rPr>
          <w:rFonts w:ascii="Book Antiqua" w:hAnsi="Book Antiqua"/>
          <w:i/>
        </w:rPr>
        <w:t>Derecho penal parte general Tomo I, Fundamentos. La estructura de la teoría del delito</w:t>
      </w:r>
      <w:r w:rsidRPr="00FD4A53">
        <w:rPr>
          <w:rFonts w:ascii="Book Antiqua" w:hAnsi="Book Antiqua"/>
        </w:rPr>
        <w:t>, traducción de la 2da edición alemana y notas por Diego-Manuel Luzon Peña. Editorial Civitas, Madrid, España, p. 58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6B" w:rsidRDefault="006A4B6B" w:rsidP="004B4C67">
    <w:pPr>
      <w:pStyle w:val="Encabezado"/>
      <w:jc w:val="center"/>
    </w:pPr>
  </w:p>
  <w:p w:rsidR="006A4B6B" w:rsidRDefault="006A4B6B" w:rsidP="004B4C67">
    <w:pPr>
      <w:pStyle w:val="Encabezado"/>
      <w:jc w:val="center"/>
    </w:pPr>
  </w:p>
  <w:p w:rsidR="006A4B6B" w:rsidRDefault="006A4B6B" w:rsidP="004B4C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529"/>
    <w:multiLevelType w:val="hybridMultilevel"/>
    <w:tmpl w:val="17E2B0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9A314A"/>
    <w:multiLevelType w:val="hybridMultilevel"/>
    <w:tmpl w:val="3E02657A"/>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9F40F7C"/>
    <w:multiLevelType w:val="hybridMultilevel"/>
    <w:tmpl w:val="79A060E4"/>
    <w:lvl w:ilvl="0" w:tplc="1BE6B68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E296782"/>
    <w:multiLevelType w:val="hybridMultilevel"/>
    <w:tmpl w:val="2F645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DE1FB2"/>
    <w:multiLevelType w:val="hybridMultilevel"/>
    <w:tmpl w:val="C5A6E5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2F601F"/>
    <w:multiLevelType w:val="hybridMultilevel"/>
    <w:tmpl w:val="3F2CDBFE"/>
    <w:lvl w:ilvl="0" w:tplc="B3FA218C">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A1A1D99"/>
    <w:multiLevelType w:val="hybridMultilevel"/>
    <w:tmpl w:val="20385E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670421"/>
    <w:multiLevelType w:val="hybridMultilevel"/>
    <w:tmpl w:val="DBC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D021199"/>
    <w:multiLevelType w:val="hybridMultilevel"/>
    <w:tmpl w:val="79A060E4"/>
    <w:lvl w:ilvl="0" w:tplc="1BE6B6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11F48A2"/>
    <w:multiLevelType w:val="hybridMultilevel"/>
    <w:tmpl w:val="7D7ED646"/>
    <w:lvl w:ilvl="0" w:tplc="09FC579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24A5128C"/>
    <w:multiLevelType w:val="hybridMultilevel"/>
    <w:tmpl w:val="CAAA4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6A7332"/>
    <w:multiLevelType w:val="hybridMultilevel"/>
    <w:tmpl w:val="3F38D2BC"/>
    <w:lvl w:ilvl="0" w:tplc="DA42B8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8DB061F"/>
    <w:multiLevelType w:val="hybridMultilevel"/>
    <w:tmpl w:val="2F645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93341B8"/>
    <w:multiLevelType w:val="hybridMultilevel"/>
    <w:tmpl w:val="BFBC3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3B6011"/>
    <w:multiLevelType w:val="hybridMultilevel"/>
    <w:tmpl w:val="1E3E919E"/>
    <w:lvl w:ilvl="0" w:tplc="09A0B5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2BE77ABF"/>
    <w:multiLevelType w:val="hybridMultilevel"/>
    <w:tmpl w:val="0688D1B8"/>
    <w:lvl w:ilvl="0" w:tplc="58A058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2DF00E27"/>
    <w:multiLevelType w:val="hybridMultilevel"/>
    <w:tmpl w:val="5E3CA3A8"/>
    <w:lvl w:ilvl="0" w:tplc="A84C172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30990C87"/>
    <w:multiLevelType w:val="hybridMultilevel"/>
    <w:tmpl w:val="61A69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6E0EF0"/>
    <w:multiLevelType w:val="multilevel"/>
    <w:tmpl w:val="8F6CCD3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4A83C87"/>
    <w:multiLevelType w:val="hybridMultilevel"/>
    <w:tmpl w:val="6BB44A22"/>
    <w:lvl w:ilvl="0" w:tplc="34F8853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36BA4CCA"/>
    <w:multiLevelType w:val="hybridMultilevel"/>
    <w:tmpl w:val="90B28BCA"/>
    <w:lvl w:ilvl="0" w:tplc="DC8A5280">
      <w:start w:val="6"/>
      <w:numFmt w:val="bullet"/>
      <w:lvlText w:val="-"/>
      <w:lvlJc w:val="left"/>
      <w:pPr>
        <w:ind w:left="720" w:hanging="360"/>
      </w:pPr>
      <w:rPr>
        <w:rFonts w:ascii="Georgia" w:eastAsiaTheme="minorHAnsi"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8820432"/>
    <w:multiLevelType w:val="hybridMultilevel"/>
    <w:tmpl w:val="61E299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7533F6"/>
    <w:multiLevelType w:val="hybridMultilevel"/>
    <w:tmpl w:val="BC627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CBD6613"/>
    <w:multiLevelType w:val="hybridMultilevel"/>
    <w:tmpl w:val="C102FB12"/>
    <w:lvl w:ilvl="0" w:tplc="68AAB29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0455BBC"/>
    <w:multiLevelType w:val="hybridMultilevel"/>
    <w:tmpl w:val="1BAA87CC"/>
    <w:lvl w:ilvl="0" w:tplc="A8486398">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nsid w:val="41E12079"/>
    <w:multiLevelType w:val="hybridMultilevel"/>
    <w:tmpl w:val="79A060E4"/>
    <w:lvl w:ilvl="0" w:tplc="1BE6B6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9FC07D3"/>
    <w:multiLevelType w:val="hybridMultilevel"/>
    <w:tmpl w:val="8D84A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DC07A82"/>
    <w:multiLevelType w:val="hybridMultilevel"/>
    <w:tmpl w:val="3E02657A"/>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5181157E"/>
    <w:multiLevelType w:val="hybridMultilevel"/>
    <w:tmpl w:val="FD70769C"/>
    <w:lvl w:ilvl="0" w:tplc="63D44F8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52CD5AD4"/>
    <w:multiLevelType w:val="hybridMultilevel"/>
    <w:tmpl w:val="6BB09C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3E94E30"/>
    <w:multiLevelType w:val="hybridMultilevel"/>
    <w:tmpl w:val="98C8A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B2C786A"/>
    <w:multiLevelType w:val="hybridMultilevel"/>
    <w:tmpl w:val="593CAF0E"/>
    <w:lvl w:ilvl="0" w:tplc="45589D20">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nsid w:val="5D263919"/>
    <w:multiLevelType w:val="hybridMultilevel"/>
    <w:tmpl w:val="BFBC3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71736FE"/>
    <w:multiLevelType w:val="hybridMultilevel"/>
    <w:tmpl w:val="64A20C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D75751F"/>
    <w:multiLevelType w:val="hybridMultilevel"/>
    <w:tmpl w:val="A268D7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BD3CBC"/>
    <w:multiLevelType w:val="hybridMultilevel"/>
    <w:tmpl w:val="1E3E919E"/>
    <w:lvl w:ilvl="0" w:tplc="09A0B5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6FA96A78"/>
    <w:multiLevelType w:val="hybridMultilevel"/>
    <w:tmpl w:val="E89AE33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0D43CC1"/>
    <w:multiLevelType w:val="hybridMultilevel"/>
    <w:tmpl w:val="9A3A283E"/>
    <w:lvl w:ilvl="0" w:tplc="E254477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8">
    <w:nsid w:val="744A1E88"/>
    <w:multiLevelType w:val="hybridMultilevel"/>
    <w:tmpl w:val="F62ED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8"/>
  </w:num>
  <w:num w:numId="3">
    <w:abstractNumId w:val="8"/>
  </w:num>
  <w:num w:numId="4">
    <w:abstractNumId w:val="12"/>
  </w:num>
  <w:num w:numId="5">
    <w:abstractNumId w:val="27"/>
  </w:num>
  <w:num w:numId="6">
    <w:abstractNumId w:val="7"/>
  </w:num>
  <w:num w:numId="7">
    <w:abstractNumId w:val="5"/>
  </w:num>
  <w:num w:numId="8">
    <w:abstractNumId w:val="34"/>
  </w:num>
  <w:num w:numId="9">
    <w:abstractNumId w:val="18"/>
  </w:num>
  <w:num w:numId="10">
    <w:abstractNumId w:val="36"/>
  </w:num>
  <w:num w:numId="11">
    <w:abstractNumId w:val="23"/>
  </w:num>
  <w:num w:numId="12">
    <w:abstractNumId w:val="1"/>
  </w:num>
  <w:num w:numId="13">
    <w:abstractNumId w:val="24"/>
  </w:num>
  <w:num w:numId="14">
    <w:abstractNumId w:val="20"/>
  </w:num>
  <w:num w:numId="15">
    <w:abstractNumId w:val="15"/>
  </w:num>
  <w:num w:numId="16">
    <w:abstractNumId w:val="28"/>
  </w:num>
  <w:num w:numId="17">
    <w:abstractNumId w:val="9"/>
  </w:num>
  <w:num w:numId="18">
    <w:abstractNumId w:val="3"/>
  </w:num>
  <w:num w:numId="19">
    <w:abstractNumId w:val="31"/>
  </w:num>
  <w:num w:numId="20">
    <w:abstractNumId w:val="35"/>
  </w:num>
  <w:num w:numId="21">
    <w:abstractNumId w:val="37"/>
  </w:num>
  <w:num w:numId="22">
    <w:abstractNumId w:val="33"/>
  </w:num>
  <w:num w:numId="23">
    <w:abstractNumId w:val="26"/>
  </w:num>
  <w:num w:numId="24">
    <w:abstractNumId w:val="11"/>
  </w:num>
  <w:num w:numId="25">
    <w:abstractNumId w:val="25"/>
  </w:num>
  <w:num w:numId="26">
    <w:abstractNumId w:val="2"/>
  </w:num>
  <w:num w:numId="27">
    <w:abstractNumId w:val="14"/>
  </w:num>
  <w:num w:numId="28">
    <w:abstractNumId w:val="16"/>
  </w:num>
  <w:num w:numId="29">
    <w:abstractNumId w:val="19"/>
  </w:num>
  <w:num w:numId="30">
    <w:abstractNumId w:val="13"/>
  </w:num>
  <w:num w:numId="31">
    <w:abstractNumId w:val="4"/>
  </w:num>
  <w:num w:numId="32">
    <w:abstractNumId w:val="29"/>
  </w:num>
  <w:num w:numId="33">
    <w:abstractNumId w:val="17"/>
  </w:num>
  <w:num w:numId="34">
    <w:abstractNumId w:val="30"/>
  </w:num>
  <w:num w:numId="35">
    <w:abstractNumId w:val="10"/>
  </w:num>
  <w:num w:numId="36">
    <w:abstractNumId w:val="0"/>
  </w:num>
  <w:num w:numId="37">
    <w:abstractNumId w:val="22"/>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7"/>
    <w:rsid w:val="00004264"/>
    <w:rsid w:val="00027D75"/>
    <w:rsid w:val="00031C39"/>
    <w:rsid w:val="00046D1A"/>
    <w:rsid w:val="0005235B"/>
    <w:rsid w:val="000618B4"/>
    <w:rsid w:val="00070CF9"/>
    <w:rsid w:val="000710AC"/>
    <w:rsid w:val="000715C2"/>
    <w:rsid w:val="00082CB4"/>
    <w:rsid w:val="00090E8F"/>
    <w:rsid w:val="0009213A"/>
    <w:rsid w:val="000C2F89"/>
    <w:rsid w:val="00107FA0"/>
    <w:rsid w:val="00134F0B"/>
    <w:rsid w:val="00141972"/>
    <w:rsid w:val="00142B13"/>
    <w:rsid w:val="00143D3A"/>
    <w:rsid w:val="001568E2"/>
    <w:rsid w:val="00157CB6"/>
    <w:rsid w:val="00163F10"/>
    <w:rsid w:val="00170E96"/>
    <w:rsid w:val="00177218"/>
    <w:rsid w:val="00186D9E"/>
    <w:rsid w:val="001A4DFA"/>
    <w:rsid w:val="001D163D"/>
    <w:rsid w:val="001E7678"/>
    <w:rsid w:val="00203E53"/>
    <w:rsid w:val="00211D97"/>
    <w:rsid w:val="0021240F"/>
    <w:rsid w:val="00215D61"/>
    <w:rsid w:val="00224F3A"/>
    <w:rsid w:val="002357C8"/>
    <w:rsid w:val="002517E4"/>
    <w:rsid w:val="002527A6"/>
    <w:rsid w:val="00275A45"/>
    <w:rsid w:val="002859EE"/>
    <w:rsid w:val="002979FB"/>
    <w:rsid w:val="002B48F4"/>
    <w:rsid w:val="002C079A"/>
    <w:rsid w:val="002C299A"/>
    <w:rsid w:val="002C4D49"/>
    <w:rsid w:val="002D161E"/>
    <w:rsid w:val="002D4376"/>
    <w:rsid w:val="002F24A2"/>
    <w:rsid w:val="002F3685"/>
    <w:rsid w:val="002F44CB"/>
    <w:rsid w:val="00301F39"/>
    <w:rsid w:val="00331992"/>
    <w:rsid w:val="003330E3"/>
    <w:rsid w:val="00342EE0"/>
    <w:rsid w:val="00353995"/>
    <w:rsid w:val="003601C3"/>
    <w:rsid w:val="00365DC9"/>
    <w:rsid w:val="003923FC"/>
    <w:rsid w:val="003C45A2"/>
    <w:rsid w:val="003D26D3"/>
    <w:rsid w:val="003D4690"/>
    <w:rsid w:val="003D5E28"/>
    <w:rsid w:val="00411BDE"/>
    <w:rsid w:val="0041393E"/>
    <w:rsid w:val="00414BF5"/>
    <w:rsid w:val="00426F54"/>
    <w:rsid w:val="00436D97"/>
    <w:rsid w:val="00444759"/>
    <w:rsid w:val="00445462"/>
    <w:rsid w:val="00445A8C"/>
    <w:rsid w:val="0045361F"/>
    <w:rsid w:val="00474B79"/>
    <w:rsid w:val="00485F7E"/>
    <w:rsid w:val="004B11CB"/>
    <w:rsid w:val="004B29EA"/>
    <w:rsid w:val="004B4C67"/>
    <w:rsid w:val="004C204F"/>
    <w:rsid w:val="004C22C2"/>
    <w:rsid w:val="004D4078"/>
    <w:rsid w:val="004E2562"/>
    <w:rsid w:val="004F1523"/>
    <w:rsid w:val="00505E8C"/>
    <w:rsid w:val="00507AA2"/>
    <w:rsid w:val="00512341"/>
    <w:rsid w:val="00541912"/>
    <w:rsid w:val="0054422D"/>
    <w:rsid w:val="00553955"/>
    <w:rsid w:val="0055523B"/>
    <w:rsid w:val="00562BFA"/>
    <w:rsid w:val="00583213"/>
    <w:rsid w:val="005844D4"/>
    <w:rsid w:val="00585497"/>
    <w:rsid w:val="005861B8"/>
    <w:rsid w:val="0058733B"/>
    <w:rsid w:val="00591CE4"/>
    <w:rsid w:val="005A13D3"/>
    <w:rsid w:val="005A512F"/>
    <w:rsid w:val="005C49B5"/>
    <w:rsid w:val="005C75F1"/>
    <w:rsid w:val="005D1B80"/>
    <w:rsid w:val="005E03BB"/>
    <w:rsid w:val="005E2E98"/>
    <w:rsid w:val="005E419B"/>
    <w:rsid w:val="005E61BF"/>
    <w:rsid w:val="005E6804"/>
    <w:rsid w:val="005F0502"/>
    <w:rsid w:val="005F1A8A"/>
    <w:rsid w:val="005F1B29"/>
    <w:rsid w:val="005F4214"/>
    <w:rsid w:val="0061480E"/>
    <w:rsid w:val="00614D72"/>
    <w:rsid w:val="006607DC"/>
    <w:rsid w:val="00662223"/>
    <w:rsid w:val="006674AC"/>
    <w:rsid w:val="00692D4C"/>
    <w:rsid w:val="0069525E"/>
    <w:rsid w:val="006A4B6B"/>
    <w:rsid w:val="006B039A"/>
    <w:rsid w:val="006B5A3E"/>
    <w:rsid w:val="006D5F18"/>
    <w:rsid w:val="006E46A5"/>
    <w:rsid w:val="00701CA9"/>
    <w:rsid w:val="00704C86"/>
    <w:rsid w:val="00705459"/>
    <w:rsid w:val="0071252C"/>
    <w:rsid w:val="00715998"/>
    <w:rsid w:val="00717D6F"/>
    <w:rsid w:val="00723164"/>
    <w:rsid w:val="00743502"/>
    <w:rsid w:val="0075251A"/>
    <w:rsid w:val="0077555F"/>
    <w:rsid w:val="0078789F"/>
    <w:rsid w:val="007B3675"/>
    <w:rsid w:val="007C659E"/>
    <w:rsid w:val="007D5C33"/>
    <w:rsid w:val="007D7644"/>
    <w:rsid w:val="007E73D7"/>
    <w:rsid w:val="007F1C01"/>
    <w:rsid w:val="007F348D"/>
    <w:rsid w:val="007F3D54"/>
    <w:rsid w:val="008309F3"/>
    <w:rsid w:val="008349AC"/>
    <w:rsid w:val="008559BD"/>
    <w:rsid w:val="00856CA9"/>
    <w:rsid w:val="00862C04"/>
    <w:rsid w:val="008630E2"/>
    <w:rsid w:val="00881C8F"/>
    <w:rsid w:val="00895E40"/>
    <w:rsid w:val="008A5B75"/>
    <w:rsid w:val="008F2B6F"/>
    <w:rsid w:val="008F321B"/>
    <w:rsid w:val="008F437E"/>
    <w:rsid w:val="008F55F2"/>
    <w:rsid w:val="00901B97"/>
    <w:rsid w:val="00902875"/>
    <w:rsid w:val="00911E0F"/>
    <w:rsid w:val="009131C6"/>
    <w:rsid w:val="009155FB"/>
    <w:rsid w:val="00920A1C"/>
    <w:rsid w:val="00926143"/>
    <w:rsid w:val="00962F1B"/>
    <w:rsid w:val="00965630"/>
    <w:rsid w:val="009658BC"/>
    <w:rsid w:val="00973CCA"/>
    <w:rsid w:val="009C451C"/>
    <w:rsid w:val="009C5994"/>
    <w:rsid w:val="009E17DD"/>
    <w:rsid w:val="009E2E20"/>
    <w:rsid w:val="009E3062"/>
    <w:rsid w:val="009E69CD"/>
    <w:rsid w:val="009F57D2"/>
    <w:rsid w:val="00A0552E"/>
    <w:rsid w:val="00A11BBF"/>
    <w:rsid w:val="00A12710"/>
    <w:rsid w:val="00A21D77"/>
    <w:rsid w:val="00A3563C"/>
    <w:rsid w:val="00A4173F"/>
    <w:rsid w:val="00A4439B"/>
    <w:rsid w:val="00A47BAB"/>
    <w:rsid w:val="00A57C5D"/>
    <w:rsid w:val="00A630A7"/>
    <w:rsid w:val="00A85336"/>
    <w:rsid w:val="00A97D1E"/>
    <w:rsid w:val="00AA4DB3"/>
    <w:rsid w:val="00AF3652"/>
    <w:rsid w:val="00AF3FF5"/>
    <w:rsid w:val="00B0185A"/>
    <w:rsid w:val="00B11124"/>
    <w:rsid w:val="00B13ED0"/>
    <w:rsid w:val="00B218FD"/>
    <w:rsid w:val="00B27B14"/>
    <w:rsid w:val="00B37269"/>
    <w:rsid w:val="00B42561"/>
    <w:rsid w:val="00B53650"/>
    <w:rsid w:val="00B61B5D"/>
    <w:rsid w:val="00B63E89"/>
    <w:rsid w:val="00B67A32"/>
    <w:rsid w:val="00BB0CF2"/>
    <w:rsid w:val="00BB1521"/>
    <w:rsid w:val="00BB38C1"/>
    <w:rsid w:val="00BB6516"/>
    <w:rsid w:val="00BC621C"/>
    <w:rsid w:val="00BD1B3D"/>
    <w:rsid w:val="00BD1FD4"/>
    <w:rsid w:val="00BD7FD5"/>
    <w:rsid w:val="00BE256D"/>
    <w:rsid w:val="00C01028"/>
    <w:rsid w:val="00C03F7E"/>
    <w:rsid w:val="00C117E8"/>
    <w:rsid w:val="00C26F2E"/>
    <w:rsid w:val="00C30F4C"/>
    <w:rsid w:val="00C50DAC"/>
    <w:rsid w:val="00C7654E"/>
    <w:rsid w:val="00C91179"/>
    <w:rsid w:val="00C979E2"/>
    <w:rsid w:val="00CA2639"/>
    <w:rsid w:val="00CC643E"/>
    <w:rsid w:val="00CE780B"/>
    <w:rsid w:val="00D009DB"/>
    <w:rsid w:val="00D01679"/>
    <w:rsid w:val="00D137EB"/>
    <w:rsid w:val="00D317C9"/>
    <w:rsid w:val="00D53C05"/>
    <w:rsid w:val="00DB7D98"/>
    <w:rsid w:val="00DD6A24"/>
    <w:rsid w:val="00DE1B33"/>
    <w:rsid w:val="00DF01C5"/>
    <w:rsid w:val="00E04171"/>
    <w:rsid w:val="00E217ED"/>
    <w:rsid w:val="00E23B8E"/>
    <w:rsid w:val="00E458B7"/>
    <w:rsid w:val="00E514BB"/>
    <w:rsid w:val="00E51B0C"/>
    <w:rsid w:val="00E773A3"/>
    <w:rsid w:val="00E80F5E"/>
    <w:rsid w:val="00E914AA"/>
    <w:rsid w:val="00E92435"/>
    <w:rsid w:val="00E96296"/>
    <w:rsid w:val="00E97F53"/>
    <w:rsid w:val="00EA2E07"/>
    <w:rsid w:val="00ED07E1"/>
    <w:rsid w:val="00ED530C"/>
    <w:rsid w:val="00EE4E10"/>
    <w:rsid w:val="00EF16EE"/>
    <w:rsid w:val="00F0511C"/>
    <w:rsid w:val="00F119E6"/>
    <w:rsid w:val="00F13870"/>
    <w:rsid w:val="00F2567A"/>
    <w:rsid w:val="00F341DC"/>
    <w:rsid w:val="00F359D8"/>
    <w:rsid w:val="00F4583C"/>
    <w:rsid w:val="00F53751"/>
    <w:rsid w:val="00F538E4"/>
    <w:rsid w:val="00F64DD8"/>
    <w:rsid w:val="00F65FE2"/>
    <w:rsid w:val="00F71A56"/>
    <w:rsid w:val="00F81845"/>
    <w:rsid w:val="00F82A53"/>
    <w:rsid w:val="00F82B25"/>
    <w:rsid w:val="00F87D30"/>
    <w:rsid w:val="00FC36B3"/>
    <w:rsid w:val="00FD5010"/>
    <w:rsid w:val="00FE1915"/>
    <w:rsid w:val="00FF52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A0451B-5448-49FD-9B18-F3B5E00C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1B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01B97"/>
  </w:style>
  <w:style w:type="paragraph" w:styleId="Encabezado">
    <w:name w:val="header"/>
    <w:basedOn w:val="Normal"/>
    <w:link w:val="EncabezadoCar"/>
    <w:uiPriority w:val="99"/>
    <w:unhideWhenUsed/>
    <w:rsid w:val="007E73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3D7"/>
  </w:style>
  <w:style w:type="paragraph" w:styleId="Piedepgina">
    <w:name w:val="footer"/>
    <w:basedOn w:val="Normal"/>
    <w:link w:val="PiedepginaCar"/>
    <w:uiPriority w:val="99"/>
    <w:unhideWhenUsed/>
    <w:rsid w:val="007E73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3D7"/>
  </w:style>
  <w:style w:type="paragraph" w:customStyle="1" w:styleId="Listavistosa-nfasis11">
    <w:name w:val="Lista vistosa - Énfasis 11"/>
    <w:basedOn w:val="Normal"/>
    <w:uiPriority w:val="99"/>
    <w:qFormat/>
    <w:rsid w:val="007E73D7"/>
    <w:pPr>
      <w:ind w:left="720"/>
      <w:contextualSpacing/>
    </w:pPr>
    <w:rPr>
      <w:rFonts w:ascii="Calibri" w:eastAsia="Times New Roman" w:hAnsi="Calibri" w:cs="Times New Roman"/>
      <w:sz w:val="24"/>
      <w:szCs w:val="24"/>
      <w:lang w:val="es-CO" w:eastAsia="es-CO"/>
    </w:rPr>
  </w:style>
  <w:style w:type="paragraph" w:customStyle="1" w:styleId="Sinespaciado1">
    <w:name w:val="Sin espaciado1"/>
    <w:uiPriority w:val="99"/>
    <w:qFormat/>
    <w:rsid w:val="007E73D7"/>
    <w:pPr>
      <w:spacing w:after="0" w:line="240" w:lineRule="auto"/>
    </w:pPr>
    <w:rPr>
      <w:rFonts w:ascii="Calibri" w:eastAsia="Times New Roman" w:hAnsi="Calibri" w:cs="Times New Roman"/>
      <w:sz w:val="24"/>
      <w:szCs w:val="24"/>
      <w:lang w:val="es-CO" w:eastAsia="es-CO"/>
    </w:rPr>
  </w:style>
  <w:style w:type="paragraph" w:styleId="Textonotapie">
    <w:name w:val="footnote text"/>
    <w:basedOn w:val="Normal"/>
    <w:link w:val="TextonotapieCar"/>
    <w:uiPriority w:val="99"/>
    <w:unhideWhenUsed/>
    <w:rsid w:val="0009213A"/>
    <w:pPr>
      <w:spacing w:after="0" w:line="240" w:lineRule="auto"/>
    </w:pPr>
    <w:rPr>
      <w:sz w:val="20"/>
      <w:szCs w:val="20"/>
    </w:rPr>
  </w:style>
  <w:style w:type="character" w:customStyle="1" w:styleId="TextonotapieCar">
    <w:name w:val="Texto nota pie Car"/>
    <w:basedOn w:val="Fuentedeprrafopredeter"/>
    <w:link w:val="Textonotapie"/>
    <w:uiPriority w:val="99"/>
    <w:rsid w:val="0009213A"/>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basedOn w:val="Fuentedeprrafopredeter"/>
    <w:uiPriority w:val="99"/>
    <w:unhideWhenUsed/>
    <w:rsid w:val="0009213A"/>
    <w:rPr>
      <w:vertAlign w:val="superscript"/>
    </w:rPr>
  </w:style>
  <w:style w:type="character" w:styleId="Hipervnculo">
    <w:name w:val="Hyperlink"/>
    <w:basedOn w:val="Fuentedeprrafopredeter"/>
    <w:uiPriority w:val="99"/>
    <w:unhideWhenUsed/>
    <w:rsid w:val="0009213A"/>
    <w:rPr>
      <w:color w:val="0000FF" w:themeColor="hyperlink"/>
      <w:u w:val="single"/>
    </w:rPr>
  </w:style>
  <w:style w:type="paragraph" w:styleId="Textodeglobo">
    <w:name w:val="Balloon Text"/>
    <w:basedOn w:val="Normal"/>
    <w:link w:val="TextodegloboCar"/>
    <w:uiPriority w:val="99"/>
    <w:semiHidden/>
    <w:unhideWhenUsed/>
    <w:rsid w:val="00252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7A6"/>
    <w:rPr>
      <w:rFonts w:ascii="Tahoma" w:hAnsi="Tahoma" w:cs="Tahoma"/>
      <w:sz w:val="16"/>
      <w:szCs w:val="16"/>
    </w:rPr>
  </w:style>
  <w:style w:type="table" w:styleId="Tablaconcuadrcula">
    <w:name w:val="Table Grid"/>
    <w:basedOn w:val="Tablanormal"/>
    <w:uiPriority w:val="59"/>
    <w:rsid w:val="00353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643E"/>
    <w:pPr>
      <w:ind w:left="720"/>
      <w:contextualSpacing/>
    </w:pPr>
  </w:style>
  <w:style w:type="table" w:customStyle="1" w:styleId="Tablaconcuadrcula1">
    <w:name w:val="Tabla con cuadrícula1"/>
    <w:basedOn w:val="Tablanormal"/>
    <w:next w:val="Tablaconcuadrcula"/>
    <w:uiPriority w:val="39"/>
    <w:rsid w:val="00F82A53"/>
    <w:pPr>
      <w:spacing w:after="0" w:line="240" w:lineRule="auto"/>
      <w:jc w:val="both"/>
    </w:pPr>
    <w:rPr>
      <w:rFonts w:ascii="Times New Roman" w:hAnsi="Times New Roman"/>
      <w:sz w:val="24"/>
      <w:szCs w:val="24"/>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E419B"/>
  </w:style>
  <w:style w:type="paragraph" w:styleId="Sinespaciado">
    <w:name w:val="No Spacing"/>
    <w:link w:val="SinespaciadoCar"/>
    <w:uiPriority w:val="1"/>
    <w:qFormat/>
    <w:rsid w:val="005E419B"/>
    <w:pPr>
      <w:spacing w:after="0" w:line="240" w:lineRule="auto"/>
      <w:jc w:val="both"/>
    </w:pPr>
    <w:rPr>
      <w:rFonts w:ascii="Times New Roman" w:hAnsi="Times New Roman"/>
      <w:sz w:val="24"/>
      <w:szCs w:val="24"/>
      <w:lang w:val="es-CO"/>
    </w:rPr>
  </w:style>
  <w:style w:type="table" w:customStyle="1" w:styleId="Tablaconcuadrcula2">
    <w:name w:val="Tabla con cuadrícula2"/>
    <w:basedOn w:val="Tablanormal"/>
    <w:next w:val="Tablaconcuadrcula"/>
    <w:uiPriority w:val="39"/>
    <w:rsid w:val="005E419B"/>
    <w:pPr>
      <w:spacing w:after="0" w:line="240" w:lineRule="auto"/>
      <w:jc w:val="both"/>
    </w:pPr>
    <w:rPr>
      <w:rFonts w:ascii="Times New Roman" w:hAnsi="Times New Roman"/>
      <w:sz w:val="24"/>
      <w:szCs w:val="24"/>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19B"/>
    <w:pPr>
      <w:widowControl w:val="0"/>
      <w:autoSpaceDE w:val="0"/>
      <w:autoSpaceDN w:val="0"/>
      <w:adjustRightInd w:val="0"/>
      <w:spacing w:after="0" w:line="240" w:lineRule="auto"/>
    </w:pPr>
    <w:rPr>
      <w:rFonts w:ascii="Bookman Old Style" w:eastAsia="MS Mincho" w:hAnsi="Bookman Old Style" w:cs="Bookman Old Style"/>
      <w:color w:val="000000"/>
      <w:sz w:val="24"/>
      <w:szCs w:val="24"/>
      <w:lang w:val="es-CO" w:eastAsia="es-CO"/>
    </w:rPr>
  </w:style>
  <w:style w:type="character" w:customStyle="1" w:styleId="iaj">
    <w:name w:val="i_aj"/>
    <w:basedOn w:val="Fuentedeprrafopredeter"/>
    <w:rsid w:val="005E419B"/>
  </w:style>
  <w:style w:type="character" w:customStyle="1" w:styleId="textonavy">
    <w:name w:val="texto_navy"/>
    <w:basedOn w:val="Fuentedeprrafopredeter"/>
    <w:rsid w:val="005E419B"/>
  </w:style>
  <w:style w:type="paragraph" w:customStyle="1" w:styleId="cuerpotexto">
    <w:name w:val="cuerpotexto"/>
    <w:basedOn w:val="Normal"/>
    <w:rsid w:val="005E419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5E419B"/>
    <w:rPr>
      <w:sz w:val="16"/>
      <w:szCs w:val="16"/>
    </w:rPr>
  </w:style>
  <w:style w:type="paragraph" w:styleId="Textocomentario">
    <w:name w:val="annotation text"/>
    <w:basedOn w:val="Normal"/>
    <w:link w:val="TextocomentarioCar"/>
    <w:uiPriority w:val="99"/>
    <w:unhideWhenUsed/>
    <w:rsid w:val="005E419B"/>
    <w:pPr>
      <w:spacing w:line="240" w:lineRule="auto"/>
    </w:pPr>
    <w:rPr>
      <w:rFonts w:ascii="Georgia" w:hAnsi="Georgia" w:cs="Times New Roman"/>
      <w:sz w:val="20"/>
      <w:szCs w:val="20"/>
      <w:lang w:val="es-CO"/>
    </w:rPr>
  </w:style>
  <w:style w:type="character" w:customStyle="1" w:styleId="TextocomentarioCar">
    <w:name w:val="Texto comentario Car"/>
    <w:basedOn w:val="Fuentedeprrafopredeter"/>
    <w:link w:val="Textocomentario"/>
    <w:uiPriority w:val="99"/>
    <w:rsid w:val="005E419B"/>
    <w:rPr>
      <w:rFonts w:ascii="Georgia" w:hAnsi="Georgia"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5E419B"/>
    <w:rPr>
      <w:b/>
      <w:bCs/>
    </w:rPr>
  </w:style>
  <w:style w:type="character" w:customStyle="1" w:styleId="AsuntodelcomentarioCar">
    <w:name w:val="Asunto del comentario Car"/>
    <w:basedOn w:val="TextocomentarioCar"/>
    <w:link w:val="Asuntodelcomentario"/>
    <w:uiPriority w:val="99"/>
    <w:semiHidden/>
    <w:rsid w:val="005E419B"/>
    <w:rPr>
      <w:rFonts w:ascii="Georgia" w:hAnsi="Georgia" w:cs="Times New Roman"/>
      <w:b/>
      <w:bCs/>
      <w:sz w:val="20"/>
      <w:szCs w:val="20"/>
      <w:lang w:val="es-CO"/>
    </w:rPr>
  </w:style>
  <w:style w:type="paragraph" w:customStyle="1" w:styleId="Prrafodelista1">
    <w:name w:val="Párrafo de lista1"/>
    <w:basedOn w:val="Normal"/>
    <w:uiPriority w:val="34"/>
    <w:qFormat/>
    <w:rsid w:val="005E419B"/>
    <w:pPr>
      <w:spacing w:after="0"/>
      <w:ind w:left="720"/>
      <w:contextualSpacing/>
    </w:pPr>
    <w:rPr>
      <w:rFonts w:ascii="Calibri" w:eastAsia="Times New Roman" w:hAnsi="Calibri" w:cs="Times New Roman"/>
      <w:lang w:val="es-MX"/>
    </w:rPr>
  </w:style>
  <w:style w:type="paragraph" w:styleId="Revisin">
    <w:name w:val="Revision"/>
    <w:hidden/>
    <w:uiPriority w:val="99"/>
    <w:semiHidden/>
    <w:rsid w:val="005E419B"/>
    <w:pPr>
      <w:spacing w:after="0" w:line="240" w:lineRule="auto"/>
    </w:pPr>
    <w:rPr>
      <w:rFonts w:ascii="Georgia" w:hAnsi="Georgia" w:cs="Times New Roman"/>
      <w:sz w:val="24"/>
      <w:szCs w:val="24"/>
      <w:lang w:val="es-CO"/>
    </w:rPr>
  </w:style>
  <w:style w:type="character" w:customStyle="1" w:styleId="spelle">
    <w:name w:val="spelle"/>
    <w:basedOn w:val="Fuentedeprrafopredeter"/>
    <w:rsid w:val="005E419B"/>
  </w:style>
  <w:style w:type="character" w:customStyle="1" w:styleId="SinespaciadoCar">
    <w:name w:val="Sin espaciado Car"/>
    <w:link w:val="Sinespaciado"/>
    <w:uiPriority w:val="1"/>
    <w:locked/>
    <w:rsid w:val="005E419B"/>
    <w:rPr>
      <w:rFonts w:ascii="Times New Roman" w:hAnsi="Times New Roman"/>
      <w:sz w:val="24"/>
      <w:szCs w:val="24"/>
      <w:lang w:val="es-CO"/>
    </w:rPr>
  </w:style>
  <w:style w:type="character" w:styleId="Hipervnculovisitado">
    <w:name w:val="FollowedHyperlink"/>
    <w:basedOn w:val="Fuentedeprrafopredeter"/>
    <w:uiPriority w:val="99"/>
    <w:semiHidden/>
    <w:unhideWhenUsed/>
    <w:rsid w:val="00C03F7E"/>
    <w:rPr>
      <w:color w:val="800080" w:themeColor="followedHyperlink"/>
      <w:u w:val="single"/>
    </w:rPr>
  </w:style>
  <w:style w:type="numbering" w:customStyle="1" w:styleId="Sinlista2">
    <w:name w:val="Sin lista2"/>
    <w:next w:val="Sinlista"/>
    <w:uiPriority w:val="99"/>
    <w:semiHidden/>
    <w:unhideWhenUsed/>
    <w:rsid w:val="00704C86"/>
  </w:style>
  <w:style w:type="character" w:styleId="Textoennegrita">
    <w:name w:val="Strong"/>
    <w:basedOn w:val="Fuentedeprrafopredeter"/>
    <w:uiPriority w:val="22"/>
    <w:qFormat/>
    <w:rsid w:val="00704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036">
      <w:bodyDiv w:val="1"/>
      <w:marLeft w:val="0"/>
      <w:marRight w:val="0"/>
      <w:marTop w:val="0"/>
      <w:marBottom w:val="0"/>
      <w:divBdr>
        <w:top w:val="none" w:sz="0" w:space="0" w:color="auto"/>
        <w:left w:val="none" w:sz="0" w:space="0" w:color="auto"/>
        <w:bottom w:val="none" w:sz="0" w:space="0" w:color="auto"/>
        <w:right w:val="none" w:sz="0" w:space="0" w:color="auto"/>
      </w:divBdr>
    </w:div>
    <w:div w:id="186259390">
      <w:bodyDiv w:val="1"/>
      <w:marLeft w:val="0"/>
      <w:marRight w:val="0"/>
      <w:marTop w:val="0"/>
      <w:marBottom w:val="0"/>
      <w:divBdr>
        <w:top w:val="none" w:sz="0" w:space="0" w:color="auto"/>
        <w:left w:val="none" w:sz="0" w:space="0" w:color="auto"/>
        <w:bottom w:val="none" w:sz="0" w:space="0" w:color="auto"/>
        <w:right w:val="none" w:sz="0" w:space="0" w:color="auto"/>
      </w:divBdr>
    </w:div>
    <w:div w:id="625620451">
      <w:bodyDiv w:val="1"/>
      <w:marLeft w:val="0"/>
      <w:marRight w:val="0"/>
      <w:marTop w:val="0"/>
      <w:marBottom w:val="0"/>
      <w:divBdr>
        <w:top w:val="none" w:sz="0" w:space="0" w:color="auto"/>
        <w:left w:val="none" w:sz="0" w:space="0" w:color="auto"/>
        <w:bottom w:val="none" w:sz="0" w:space="0" w:color="auto"/>
        <w:right w:val="none" w:sz="0" w:space="0" w:color="auto"/>
      </w:divBdr>
    </w:div>
    <w:div w:id="13941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0368-7053-4BF1-A85D-239271B1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18955</Words>
  <Characters>104256</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admin</cp:lastModifiedBy>
  <cp:revision>2</cp:revision>
  <cp:lastPrinted>2016-06-08T15:13:00Z</cp:lastPrinted>
  <dcterms:created xsi:type="dcterms:W3CDTF">2016-06-13T20:57:00Z</dcterms:created>
  <dcterms:modified xsi:type="dcterms:W3CDTF">2016-06-13T20:57:00Z</dcterms:modified>
</cp:coreProperties>
</file>